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FE" w:rsidRDefault="00965EFE" w:rsidP="00B03F1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FE" w:rsidRDefault="00965EFE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5EFE" w:rsidRDefault="00965EFE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FE" w:rsidRDefault="00965EFE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FE" w:rsidRDefault="00965EFE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5EFE" w:rsidRDefault="00965EFE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5EFE" w:rsidRDefault="00965EFE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ЗАКЛЮЧЕНИЕ</w:t>
      </w:r>
    </w:p>
    <w:p w:rsidR="00965EFE" w:rsidRPr="00B571E2" w:rsidRDefault="00965EFE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Контрольно-счётной палаты Рогнединского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на проект решения</w:t>
      </w:r>
    </w:p>
    <w:p w:rsidR="00965EFE" w:rsidRPr="00B571E2" w:rsidRDefault="00965EFE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Шаровичского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Совета народных депутатов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«О бюджете муниципального образования</w:t>
      </w:r>
    </w:p>
    <w:p w:rsidR="00965EFE" w:rsidRPr="00B571E2" w:rsidRDefault="00965EFE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«Шаровичск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>ое сельское поселение»</w:t>
      </w:r>
    </w:p>
    <w:p w:rsidR="00965EFE" w:rsidRDefault="00965EFE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на 2017 год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плановый период 2018 и 2019 годов»</w:t>
      </w:r>
    </w:p>
    <w:p w:rsidR="00965EFE" w:rsidRDefault="00965EFE" w:rsidP="00F66A8C">
      <w:pPr>
        <w:pStyle w:val="BodyTextIndent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5EFE" w:rsidRDefault="00965EFE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965EFE" w:rsidRDefault="00965EFE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965EFE" w:rsidRDefault="00965EFE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965EFE" w:rsidRDefault="00965EF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965EFE" w:rsidRDefault="00965EF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965EFE" w:rsidRDefault="00965EF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965EFE" w:rsidRDefault="00965EF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965EFE" w:rsidRDefault="00965EF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965EFE" w:rsidRDefault="00965EF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Рогнедино</w:t>
      </w: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65EFE" w:rsidRDefault="00965EF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Общие положения</w:t>
      </w:r>
    </w:p>
    <w:p w:rsidR="00965EFE" w:rsidRDefault="00965EFE" w:rsidP="00F66A8C">
      <w:pPr>
        <w:pStyle w:val="BodyTextIndent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Рогнединского района на проект решения Шаровичского сельского Совета народных депутатов «О бюджете муниципального образования «Шаровичское сельское поселение» на 2017 </w:t>
      </w:r>
      <w:r w:rsidRPr="00053F66">
        <w:rPr>
          <w:rFonts w:ascii="Times New Roman" w:hAnsi="Times New Roman" w:cs="Times New Roman"/>
        </w:rPr>
        <w:t xml:space="preserve">год и </w:t>
      </w:r>
      <w:r>
        <w:rPr>
          <w:rFonts w:ascii="Times New Roman" w:hAnsi="Times New Roman" w:cs="Times New Roman"/>
        </w:rPr>
        <w:t xml:space="preserve">на </w:t>
      </w:r>
      <w:r w:rsidRPr="00053F66">
        <w:rPr>
          <w:rFonts w:ascii="Times New Roman" w:hAnsi="Times New Roman" w:cs="Times New Roman"/>
        </w:rPr>
        <w:t>плановый период 2018 и 2019 годов</w:t>
      </w:r>
      <w:r>
        <w:rPr>
          <w:rFonts w:ascii="Times New Roman" w:hAnsi="Times New Roman" w:cs="Times New Roman"/>
        </w:rPr>
        <w:t>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965EFE" w:rsidRDefault="00965EFE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содержащем стратегические цели развития страны, сформулированные в указах Президента Российской Федерации от 7 мая 2012 года.</w:t>
      </w:r>
    </w:p>
    <w:p w:rsidR="00965EFE" w:rsidRDefault="00965EFE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Шаровичского сельского Совета народных депутатов «О бюджете муниципального образования «Шаровичское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Шаровичской сельской администрацией на рассмотрение в Шаровичский сельский Совет народных депутатов  до 1 декабря 2016 года.</w:t>
      </w:r>
    </w:p>
    <w:p w:rsidR="00965EFE" w:rsidRPr="00684884" w:rsidRDefault="00965EFE" w:rsidP="00245B27">
      <w:pPr>
        <w:pStyle w:val="BodyTextIndent"/>
        <w:ind w:left="0" w:firstLine="900"/>
        <w:jc w:val="both"/>
        <w:rPr>
          <w:sz w:val="24"/>
          <w:szCs w:val="24"/>
        </w:rPr>
      </w:pPr>
      <w:r w:rsidRPr="00495172">
        <w:rPr>
          <w:rFonts w:ascii="Times New Roman" w:hAnsi="Times New Roman" w:cs="Times New Roman"/>
        </w:rPr>
        <w:t>Основные характеристики бюджета  мун</w:t>
      </w:r>
      <w:r>
        <w:rPr>
          <w:rFonts w:ascii="Times New Roman" w:hAnsi="Times New Roman" w:cs="Times New Roman"/>
        </w:rPr>
        <w:t>иципального образования «Шарович</w:t>
      </w:r>
      <w:r w:rsidRPr="00495172">
        <w:rPr>
          <w:rFonts w:ascii="Times New Roman" w:hAnsi="Times New Roman" w:cs="Times New Roman"/>
        </w:rPr>
        <w:t xml:space="preserve">ское сельское поселение» на 2017 год и </w:t>
      </w:r>
      <w:r>
        <w:rPr>
          <w:rFonts w:ascii="Times New Roman" w:hAnsi="Times New Roman" w:cs="Times New Roman"/>
        </w:rPr>
        <w:t xml:space="preserve">на </w:t>
      </w:r>
      <w:r w:rsidRPr="00495172">
        <w:rPr>
          <w:rFonts w:ascii="Times New Roman" w:hAnsi="Times New Roman" w:cs="Times New Roman"/>
        </w:rPr>
        <w:t>плановый период 2018 и 2019 годов сформированы на основе прогноза социально-экономического развития на 2017 – 2019 годы</w:t>
      </w:r>
      <w:r>
        <w:rPr>
          <w:rFonts w:ascii="Times New Roman" w:hAnsi="Times New Roman" w:cs="Times New Roman"/>
        </w:rPr>
        <w:t xml:space="preserve">, где </w:t>
      </w:r>
      <w:r w:rsidRPr="00245B27">
        <w:rPr>
          <w:rFonts w:ascii="Times New Roman" w:hAnsi="Times New Roman" w:cs="Times New Roman"/>
        </w:rPr>
        <w:t>учитывалось налоговое законодательство, действующее на момент составления проекта бюджета, а также принятые федеральные законы, предусматривающие внесение изменений и дополнений в законодательство о налогах и сборах, вступающие в действие с 1 января 2017 года.</w:t>
      </w:r>
    </w:p>
    <w:p w:rsidR="00965EFE" w:rsidRPr="00495172" w:rsidRDefault="00965EFE" w:rsidP="00245B27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>стика</w:t>
      </w:r>
      <w:r w:rsidRPr="00495172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ов бюджета</w:t>
      </w:r>
    </w:p>
    <w:p w:rsidR="00965EFE" w:rsidRPr="00495172" w:rsidRDefault="00965EFE" w:rsidP="0049517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51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49517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1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0"/>
        <w:gridCol w:w="1418"/>
        <w:gridCol w:w="1417"/>
        <w:gridCol w:w="1276"/>
        <w:gridCol w:w="1276"/>
        <w:gridCol w:w="1275"/>
      </w:tblGrid>
      <w:tr w:rsidR="00965EFE" w:rsidRPr="00A4242E">
        <w:trPr>
          <w:cantSplit/>
          <w:trHeight w:val="1215"/>
          <w:tblHeader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95172" w:rsidRDefault="00965EFE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95172" w:rsidRDefault="00965EF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965EFE" w:rsidRPr="00495172" w:rsidRDefault="00965EF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965EFE" w:rsidRPr="00495172" w:rsidRDefault="00965EF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95172" w:rsidRDefault="00965EF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965EFE" w:rsidRPr="00495172" w:rsidRDefault="00965EF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95172" w:rsidRDefault="00965EF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276" w:type="dxa"/>
            <w:vAlign w:val="center"/>
          </w:tcPr>
          <w:p w:rsidR="00965EFE" w:rsidRPr="00495172" w:rsidRDefault="00965EF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275" w:type="dxa"/>
            <w:vAlign w:val="center"/>
          </w:tcPr>
          <w:p w:rsidR="00965EFE" w:rsidRPr="00495172" w:rsidRDefault="00965EF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965EFE" w:rsidRPr="00A4242E">
        <w:trPr>
          <w:trHeight w:val="545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95172" w:rsidRDefault="00965EFE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945,7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907,2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  <w:tc>
          <w:tcPr>
            <w:tcW w:w="1276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  <w:tc>
          <w:tcPr>
            <w:tcW w:w="1275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</w:tr>
      <w:tr w:rsidR="00965EFE" w:rsidRPr="00A4242E">
        <w:trPr>
          <w:trHeight w:val="393"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95172" w:rsidRDefault="00965EFE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251,0</w:t>
            </w:r>
          </w:p>
        </w:tc>
        <w:tc>
          <w:tcPr>
            <w:tcW w:w="1276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251,0</w:t>
            </w:r>
          </w:p>
        </w:tc>
        <w:tc>
          <w:tcPr>
            <w:tcW w:w="1275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251,0</w:t>
            </w:r>
          </w:p>
        </w:tc>
      </w:tr>
      <w:tr w:rsidR="00965EF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10677" w:rsidRDefault="00965EFE" w:rsidP="00A10677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</w:t>
            </w:r>
            <w:r w:rsidRPr="00A10677">
              <w:rPr>
                <w:rFonts w:ascii="Times New Roman" w:hAnsi="Times New Roman" w:cs="Times New Roman"/>
              </w:rPr>
              <w:t>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1276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1275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251,0</w:t>
            </w:r>
          </w:p>
        </w:tc>
      </w:tr>
      <w:tr w:rsidR="00965EF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95172" w:rsidRDefault="00965EFE" w:rsidP="00CC199A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5EF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131974" w:rsidRDefault="00965EFE" w:rsidP="0013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715,5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574,9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570,3</w:t>
            </w:r>
          </w:p>
        </w:tc>
        <w:tc>
          <w:tcPr>
            <w:tcW w:w="1276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570,3</w:t>
            </w:r>
          </w:p>
        </w:tc>
        <w:tc>
          <w:tcPr>
            <w:tcW w:w="1275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570,3</w:t>
            </w:r>
          </w:p>
        </w:tc>
      </w:tr>
      <w:tr w:rsidR="00965EF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7E41A4" w:rsidRDefault="00965EFE" w:rsidP="00CC199A">
            <w:pPr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1020,6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  <w:tc>
          <w:tcPr>
            <w:tcW w:w="1276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  <w:tc>
          <w:tcPr>
            <w:tcW w:w="1275" w:type="dxa"/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</w:tr>
      <w:tr w:rsidR="00965EF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Дефицит (-)</w:t>
            </w:r>
          </w:p>
          <w:p w:rsidR="00965EFE" w:rsidRPr="007E41A4" w:rsidRDefault="00965EFE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-74,9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C96C7B" w:rsidRDefault="00965EF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-163,9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7E41A4" w:rsidRDefault="00965EFE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965EFE" w:rsidRPr="007E41A4" w:rsidRDefault="00965EFE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965EFE" w:rsidRPr="007E41A4" w:rsidRDefault="00965EFE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965EFE" w:rsidRPr="00245B27" w:rsidRDefault="00965EFE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2017 год и плановый период 2018 и 2019 годов осуществлялось в сценарных условиях развития  экономики.</w:t>
      </w:r>
    </w:p>
    <w:p w:rsidR="00965EFE" w:rsidRPr="00245B27" w:rsidRDefault="00965EFE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Приоритет обеспечения исполнения действующих обязательств при формировании бюджета сохранен.</w:t>
      </w:r>
    </w:p>
    <w:p w:rsidR="00965EFE" w:rsidRPr="00946DE9" w:rsidRDefault="00965EF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Шаровичское сельское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год» включает </w:t>
      </w:r>
      <w:r w:rsidRPr="00052B0D">
        <w:rPr>
          <w:rFonts w:ascii="Times New Roman" w:hAnsi="Times New Roman" w:cs="Times New Roman"/>
          <w:sz w:val="28"/>
          <w:szCs w:val="28"/>
        </w:rPr>
        <w:t>10</w:t>
      </w:r>
      <w:r w:rsidRPr="0086469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EFE" w:rsidRDefault="00965EFE" w:rsidP="00F66A8C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965EFE" w:rsidRDefault="00965EFE" w:rsidP="007454AC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0664">
        <w:rPr>
          <w:rFonts w:ascii="Times New Roman" w:hAnsi="Times New Roman" w:cs="Times New Roman"/>
          <w:b/>
          <w:bCs/>
        </w:rPr>
        <w:t>2. Прогноз</w:t>
      </w:r>
      <w:r>
        <w:rPr>
          <w:rFonts w:ascii="Times New Roman" w:hAnsi="Times New Roman" w:cs="Times New Roman"/>
          <w:b/>
          <w:bCs/>
        </w:rPr>
        <w:t xml:space="preserve">  социально-экономического развития муниципального образования «Шаровичское сельское поселение»</w:t>
      </w:r>
      <w:r w:rsidRPr="00E9347F">
        <w:rPr>
          <w:rFonts w:ascii="Times New Roman" w:hAnsi="Times New Roman" w:cs="Times New Roman"/>
        </w:rPr>
        <w:t xml:space="preserve"> </w:t>
      </w:r>
      <w:r w:rsidRPr="00E9347F">
        <w:rPr>
          <w:rFonts w:ascii="Times New Roman" w:hAnsi="Times New Roman" w:cs="Times New Roman"/>
          <w:b/>
          <w:bCs/>
        </w:rPr>
        <w:t>на 201</w:t>
      </w:r>
      <w:r>
        <w:rPr>
          <w:rFonts w:ascii="Times New Roman" w:hAnsi="Times New Roman" w:cs="Times New Roman"/>
          <w:b/>
          <w:bCs/>
        </w:rPr>
        <w:t>7</w:t>
      </w:r>
      <w:r w:rsidRPr="00E9347F">
        <w:rPr>
          <w:rFonts w:ascii="Times New Roman" w:hAnsi="Times New Roman" w:cs="Times New Roman"/>
          <w:b/>
          <w:bCs/>
        </w:rPr>
        <w:t xml:space="preserve">  </w:t>
      </w:r>
      <w:r w:rsidRPr="007454AC">
        <w:rPr>
          <w:rFonts w:ascii="Times New Roman" w:hAnsi="Times New Roman" w:cs="Times New Roman"/>
          <w:b/>
          <w:bCs/>
        </w:rPr>
        <w:t xml:space="preserve">год и </w:t>
      </w:r>
      <w:r>
        <w:rPr>
          <w:rFonts w:ascii="Times New Roman" w:hAnsi="Times New Roman" w:cs="Times New Roman"/>
          <w:b/>
          <w:bCs/>
        </w:rPr>
        <w:t xml:space="preserve">на </w:t>
      </w:r>
      <w:r w:rsidRPr="007454AC">
        <w:rPr>
          <w:rFonts w:ascii="Times New Roman" w:hAnsi="Times New Roman" w:cs="Times New Roman"/>
          <w:b/>
          <w:bCs/>
        </w:rPr>
        <w:t>плановый период 2018 и 2019 годов.</w:t>
      </w:r>
      <w:r>
        <w:rPr>
          <w:rFonts w:ascii="Times New Roman" w:hAnsi="Times New Roman" w:cs="Times New Roman"/>
        </w:rPr>
        <w:t xml:space="preserve"> </w:t>
      </w:r>
    </w:p>
    <w:p w:rsidR="00965EFE" w:rsidRDefault="00965EFE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 Разработка прогноза социально-экономического развития на 2017 год и параметров прогноза на плановый период 2018 и 2019 годов осуществлялась по двум вариантам. С учетом негативного влияния на экономические процессы  в поселении, последствий мирового кризиса, первый вариант является основным, при котором в прогнозируемом периоде будут сохраняться тенденции влияния внутренних и внешних условий на развитие экономики в поселении.</w:t>
      </w:r>
    </w:p>
    <w:p w:rsidR="00965EFE" w:rsidRPr="00810925" w:rsidRDefault="00965EFE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Одной из основных отраслей сектора экономики в поселении является сельское хозяйство. </w:t>
      </w:r>
    </w:p>
    <w:p w:rsidR="00965EFE" w:rsidRPr="00810925" w:rsidRDefault="00965EFE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В 2016 году объем валовой продукции сельского хозяйства  в фактически действующи</w:t>
      </w:r>
      <w:r>
        <w:rPr>
          <w:rFonts w:ascii="Times New Roman" w:hAnsi="Times New Roman" w:cs="Times New Roman"/>
          <w:sz w:val="28"/>
          <w:szCs w:val="28"/>
        </w:rPr>
        <w:t>х ценах составил 7,4</w:t>
      </w:r>
      <w:r w:rsidRPr="00810925">
        <w:rPr>
          <w:rFonts w:ascii="Times New Roman" w:hAnsi="Times New Roman" w:cs="Times New Roman"/>
          <w:sz w:val="28"/>
          <w:szCs w:val="28"/>
        </w:rPr>
        <w:t xml:space="preserve"> млн. рублей или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0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0925">
        <w:rPr>
          <w:rFonts w:ascii="Times New Roman" w:hAnsi="Times New Roman" w:cs="Times New Roman"/>
          <w:sz w:val="28"/>
          <w:szCs w:val="28"/>
        </w:rPr>
        <w:t>% в сопоставимой оценке к уровню 2015 года.</w:t>
      </w:r>
    </w:p>
    <w:p w:rsidR="00965EFE" w:rsidRPr="00810925" w:rsidRDefault="00965EFE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Доля продукции растениеводства 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продукции составила 64,2%, животноводства  35 ,8 процентов</w:t>
      </w:r>
      <w:r w:rsidRPr="00810925">
        <w:rPr>
          <w:rFonts w:ascii="Times New Roman" w:hAnsi="Times New Roman" w:cs="Times New Roman"/>
          <w:sz w:val="28"/>
          <w:szCs w:val="28"/>
        </w:rPr>
        <w:t>.</w:t>
      </w:r>
    </w:p>
    <w:p w:rsidR="00965EFE" w:rsidRPr="00547EA0" w:rsidRDefault="00965EFE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E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1 января 2016 года</w:t>
      </w:r>
      <w:r w:rsidRPr="0054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47EA0">
        <w:rPr>
          <w:rFonts w:ascii="Times New Roman" w:hAnsi="Times New Roman" w:cs="Times New Roman"/>
          <w:sz w:val="28"/>
          <w:szCs w:val="28"/>
        </w:rPr>
        <w:t xml:space="preserve">аселение  </w:t>
      </w:r>
      <w:r>
        <w:rPr>
          <w:rFonts w:ascii="Times New Roman" w:hAnsi="Times New Roman" w:cs="Times New Roman"/>
          <w:sz w:val="28"/>
          <w:szCs w:val="28"/>
        </w:rPr>
        <w:t>составляет 348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 К уровню прош</w:t>
      </w:r>
      <w:r>
        <w:rPr>
          <w:rFonts w:ascii="Times New Roman" w:hAnsi="Times New Roman" w:cs="Times New Roman"/>
          <w:sz w:val="28"/>
          <w:szCs w:val="28"/>
        </w:rPr>
        <w:t>лого года оно уменьшилось  на 4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EA0">
        <w:rPr>
          <w:rFonts w:ascii="Times New Roman" w:hAnsi="Times New Roman" w:cs="Times New Roman"/>
          <w:sz w:val="28"/>
          <w:szCs w:val="28"/>
        </w:rPr>
        <w:t>.</w:t>
      </w:r>
    </w:p>
    <w:p w:rsidR="00965EFE" w:rsidRPr="00547EA0" w:rsidRDefault="00965EFE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Основной причиной ухудшения демографической ситуации является естественная убыль населени</w:t>
      </w:r>
      <w:r>
        <w:rPr>
          <w:rFonts w:ascii="Times New Roman" w:hAnsi="Times New Roman" w:cs="Times New Roman"/>
          <w:sz w:val="28"/>
          <w:szCs w:val="28"/>
        </w:rPr>
        <w:t>я, за 2016 год она составила  6 человек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. Отрицательным образом сказывается на демографической ситуации миграционные процессы  трудоспособной части населения за пределы  поселения и района. </w:t>
      </w:r>
    </w:p>
    <w:p w:rsidR="00965EFE" w:rsidRPr="00547EA0" w:rsidRDefault="00965EFE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 Трудовые ресурсы прогнозирую</w:t>
      </w:r>
      <w:r>
        <w:rPr>
          <w:rFonts w:ascii="Times New Roman" w:hAnsi="Times New Roman" w:cs="Times New Roman"/>
          <w:sz w:val="28"/>
          <w:szCs w:val="28"/>
        </w:rPr>
        <w:t>тся в 2016 году в количестве 270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 Численность лиц трудоспособного возраста имеет тенденцию к снижению, что обусловлено периодом естественного спада рождаемости.</w:t>
      </w:r>
    </w:p>
    <w:p w:rsidR="00965EFE" w:rsidRPr="00547EA0" w:rsidRDefault="00965EFE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Численность работающих на предприятиях и организациях прогнозируется в 2017 году</w:t>
      </w:r>
      <w:r>
        <w:rPr>
          <w:rFonts w:ascii="Times New Roman" w:hAnsi="Times New Roman" w:cs="Times New Roman"/>
          <w:sz w:val="28"/>
          <w:szCs w:val="28"/>
        </w:rPr>
        <w:t xml:space="preserve"> - 98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человек, в 2018 году </w:t>
      </w:r>
      <w:r>
        <w:rPr>
          <w:rFonts w:ascii="Times New Roman" w:hAnsi="Times New Roman" w:cs="Times New Roman"/>
          <w:sz w:val="28"/>
          <w:szCs w:val="28"/>
        </w:rPr>
        <w:t>- 95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, в 2019 году </w:t>
      </w:r>
      <w:r>
        <w:rPr>
          <w:rFonts w:ascii="Times New Roman" w:hAnsi="Times New Roman" w:cs="Times New Roman"/>
          <w:sz w:val="28"/>
          <w:szCs w:val="28"/>
        </w:rPr>
        <w:t>- 92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EA0">
        <w:rPr>
          <w:rFonts w:ascii="Times New Roman" w:hAnsi="Times New Roman" w:cs="Times New Roman"/>
          <w:sz w:val="28"/>
          <w:szCs w:val="28"/>
        </w:rPr>
        <w:t>.</w:t>
      </w:r>
    </w:p>
    <w:p w:rsidR="00965EFE" w:rsidRDefault="00965EFE" w:rsidP="00547EA0">
      <w:pPr>
        <w:spacing w:after="0" w:line="240" w:lineRule="auto"/>
        <w:ind w:firstLine="709"/>
        <w:jc w:val="both"/>
        <w:rPr>
          <w:sz w:val="26"/>
          <w:szCs w:val="26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Наибольшее число работающих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EA0">
        <w:rPr>
          <w:rFonts w:ascii="Times New Roman" w:hAnsi="Times New Roman" w:cs="Times New Roman"/>
          <w:sz w:val="28"/>
          <w:szCs w:val="28"/>
        </w:rPr>
        <w:t xml:space="preserve"> занято в  сельском хозяйстве и социальной сфере.</w:t>
      </w:r>
      <w:r w:rsidRPr="00315830">
        <w:rPr>
          <w:sz w:val="26"/>
          <w:szCs w:val="26"/>
        </w:rPr>
        <w:t xml:space="preserve"> </w:t>
      </w:r>
    </w:p>
    <w:p w:rsidR="00965EFE" w:rsidRDefault="00965EFE" w:rsidP="0054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b/>
          <w:bCs/>
          <w:sz w:val="28"/>
          <w:szCs w:val="28"/>
        </w:rPr>
        <w:t>3. Анализ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задач, поставленных в Бюджетном послании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EFE" w:rsidRDefault="00965EF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на 2017 год и на плановый период 2018 и 2019 годов разработаны в соответствии с требованиями статьи 184.2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965EFE" w:rsidRPr="000A7788" w:rsidRDefault="00965EF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 xml:space="preserve"> Основной целью налоговой политики на 2017 год и на плановый период 2018 и 2019 годов остается обеспечение сбалансированности и устойчивости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Шаровичское сельское поселение</w:t>
      </w:r>
      <w:r w:rsidRPr="000A7788">
        <w:rPr>
          <w:rFonts w:ascii="Times New Roman" w:hAnsi="Times New Roman" w:cs="Times New Roman"/>
          <w:sz w:val="28"/>
          <w:szCs w:val="28"/>
        </w:rPr>
        <w:t>»  с учетом текущей экономической ситуации.</w:t>
      </w:r>
    </w:p>
    <w:p w:rsidR="00965EFE" w:rsidRPr="00FB5763" w:rsidRDefault="00965EF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63">
        <w:rPr>
          <w:rFonts w:ascii="Times New Roman" w:hAnsi="Times New Roman" w:cs="Times New Roman"/>
          <w:sz w:val="28"/>
          <w:szCs w:val="28"/>
        </w:rPr>
        <w:t>Приоритетной задачей налоговой политики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Шаровичское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в трёхлетней перспективе 2017-2019 годов будет продолжение работы по укреплению и развитию доходной базы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Шаровичское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за счет наращивания стабильных доходных источников, ее пополнения и мобилизации в бюджет имеющихся резервов.</w:t>
      </w:r>
    </w:p>
    <w:p w:rsidR="00965EFE" w:rsidRPr="002C0186" w:rsidRDefault="00965EF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86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</w:t>
      </w:r>
      <w:r>
        <w:rPr>
          <w:rFonts w:ascii="Times New Roman" w:hAnsi="Times New Roman" w:cs="Times New Roman"/>
          <w:sz w:val="28"/>
          <w:szCs w:val="28"/>
        </w:rPr>
        <w:t>рспективе, выделяются следующие:</w:t>
      </w:r>
    </w:p>
    <w:p w:rsidR="00965EFE" w:rsidRPr="002C0186" w:rsidRDefault="00965EF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86">
        <w:rPr>
          <w:rFonts w:ascii="Times New Roman" w:hAnsi="Times New Roman" w:cs="Times New Roman"/>
          <w:sz w:val="28"/>
          <w:szCs w:val="28"/>
        </w:rPr>
        <w:t xml:space="preserve"> продолжение работы по легализации заработной платы, доведению ее до среднего уровня;</w:t>
      </w:r>
    </w:p>
    <w:p w:rsidR="00965EFE" w:rsidRPr="00D42139" w:rsidRDefault="00965EF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139">
        <w:rPr>
          <w:rFonts w:ascii="Times New Roman" w:hAnsi="Times New Roman" w:cs="Times New Roman"/>
          <w:sz w:val="28"/>
          <w:szCs w:val="28"/>
        </w:rPr>
        <w:t xml:space="preserve"> совершенствование налогообложения имущества физических лиц и организаций, исходя из кадастровой стоимости объектов недвижимости;</w:t>
      </w:r>
    </w:p>
    <w:p w:rsidR="00965EFE" w:rsidRPr="003E49C2" w:rsidRDefault="00965EF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повышение эффективности администрирования до</w:t>
      </w:r>
      <w:r>
        <w:rPr>
          <w:rFonts w:ascii="Times New Roman" w:hAnsi="Times New Roman" w:cs="Times New Roman"/>
          <w:sz w:val="28"/>
          <w:szCs w:val="28"/>
        </w:rPr>
        <w:t>ходов бюджета муниципального образования «Шаровичское сельское поселение»</w:t>
      </w:r>
      <w:r w:rsidRPr="003E49C2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Шаровичское сельское поселение</w:t>
      </w:r>
      <w:r w:rsidRPr="003E49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5EFE" w:rsidRPr="003E49C2" w:rsidRDefault="00965EF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продолжение практики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налогоплательщиками </w:t>
      </w:r>
      <w:r w:rsidRPr="003E49C2">
        <w:rPr>
          <w:rFonts w:ascii="Times New Roman" w:hAnsi="Times New Roman" w:cs="Times New Roman"/>
          <w:sz w:val="28"/>
          <w:szCs w:val="28"/>
        </w:rPr>
        <w:t>.</w:t>
      </w:r>
    </w:p>
    <w:p w:rsidR="00965EFE" w:rsidRPr="002146EF" w:rsidRDefault="00965EFE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«Шарович</w:t>
      </w:r>
      <w:r w:rsidRPr="002146EF">
        <w:rPr>
          <w:rFonts w:ascii="Times New Roman" w:hAnsi="Times New Roman" w:cs="Times New Roman"/>
          <w:sz w:val="28"/>
          <w:szCs w:val="28"/>
        </w:rPr>
        <w:t>ское сельское поселение» на 2017 год и на плановый период 2018 и 2019 годов разработаны в целях определения подходов к формированию основных характеристик и прогнозируемых параметров проекта бюджета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«Шарович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ское сельское поселение» на 2017 год и на плановый период 2018 и 2019 годов, обеспечивающих устойчивость и сбалансированность бюджета. </w:t>
      </w:r>
    </w:p>
    <w:p w:rsidR="00965EFE" w:rsidRPr="002146EF" w:rsidRDefault="00965EFE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В основу бюджетной политики  положены стратегические цели развития, сформулированные в соответствии с основными положениями Послания Президента Российской Федерации Федеральному Собранию Российской Федерации от 3 декабря 2015 года, указами Президента Российской Федерации от 7 мая 2012 года.</w:t>
      </w:r>
    </w:p>
    <w:p w:rsidR="00965EFE" w:rsidRPr="002146EF" w:rsidRDefault="00965EFE" w:rsidP="00214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2017 год и на плановый период 2018 и 2019 годов принят базовый вариант прогноза социально-э</w:t>
      </w:r>
      <w:r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sz w:val="28"/>
          <w:szCs w:val="28"/>
        </w:rPr>
        <w:softHyphen/>
        <w:t>кого развития Шарович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965EFE" w:rsidRPr="002146EF" w:rsidRDefault="00965EF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Основными целями бюджетной политики на 2017 год и на плановый период 2018 и 2019 годов 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146EF">
        <w:rPr>
          <w:rFonts w:ascii="Times New Roman" w:hAnsi="Times New Roman" w:cs="Times New Roman"/>
          <w:sz w:val="28"/>
          <w:szCs w:val="28"/>
        </w:rPr>
        <w:t>:</w:t>
      </w:r>
    </w:p>
    <w:p w:rsidR="00965EFE" w:rsidRPr="002146EF" w:rsidRDefault="00965EF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965EFE" w:rsidRPr="002146EF" w:rsidRDefault="00965EF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ограничение принятия новых расходных обязательств бюджета, минимизация кредиторской задолженности;</w:t>
      </w:r>
    </w:p>
    <w:p w:rsidR="00965EFE" w:rsidRPr="002146EF" w:rsidRDefault="00965EF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нормативного правового регулирования и методологии управления общественными финансами;</w:t>
      </w:r>
    </w:p>
    <w:p w:rsidR="00965EFE" w:rsidRPr="002146EF" w:rsidRDefault="00965EF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механизма финансового обеспечения деятельности учреждений, с учетом предоставления субсидий муниципальным бюджетным учреждениям на основе базовых нормативных затрат;</w:t>
      </w:r>
    </w:p>
    <w:p w:rsidR="00965EFE" w:rsidRPr="002146EF" w:rsidRDefault="00965EF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 поселений;</w:t>
      </w:r>
    </w:p>
    <w:p w:rsidR="00965EFE" w:rsidRPr="00485EA9" w:rsidRDefault="00965EFE" w:rsidP="002146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>-</w:t>
      </w:r>
      <w:r w:rsidRPr="00E80EE8">
        <w:t xml:space="preserve"> </w:t>
      </w:r>
      <w:r w:rsidRPr="00485EA9">
        <w:rPr>
          <w:rFonts w:ascii="Times New Roman" w:hAnsi="Times New Roman" w:cs="Times New Roman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 муниципального образования «Шаровичское сельское поселение»</w:t>
      </w:r>
    </w:p>
    <w:p w:rsidR="00965EFE" w:rsidRPr="00542286" w:rsidRDefault="00965EFE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«Шарович</w:t>
      </w:r>
      <w:r w:rsidRPr="00542286">
        <w:rPr>
          <w:rFonts w:ascii="Times New Roman" w:hAnsi="Times New Roman" w:cs="Times New Roman"/>
        </w:rPr>
        <w:t>ское сельское поселение» на 20</w:t>
      </w:r>
      <w:r>
        <w:rPr>
          <w:rFonts w:ascii="Times New Roman" w:hAnsi="Times New Roman" w:cs="Times New Roman"/>
        </w:rPr>
        <w:t>17 год прогнозируется в сумме  821,3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251,0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 или 30,6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251,0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100,0 процентов.</w:t>
      </w:r>
    </w:p>
    <w:p w:rsidR="00965EFE" w:rsidRPr="00542286" w:rsidRDefault="00965EFE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«Шарович</w:t>
      </w:r>
      <w:r w:rsidRPr="00542286">
        <w:rPr>
          <w:rFonts w:ascii="Times New Roman" w:hAnsi="Times New Roman" w:cs="Times New Roman"/>
        </w:rPr>
        <w:t>ское сельское поселение» за 2016 год</w:t>
      </w:r>
      <w:r>
        <w:rPr>
          <w:rFonts w:ascii="Times New Roman" w:hAnsi="Times New Roman" w:cs="Times New Roman"/>
        </w:rPr>
        <w:t>,</w:t>
      </w:r>
      <w:r w:rsidRPr="00542286">
        <w:rPr>
          <w:rFonts w:ascii="Times New Roman" w:hAnsi="Times New Roman" w:cs="Times New Roman"/>
        </w:rPr>
        <w:t xml:space="preserve"> прогнозируемые доходы бюджета в 2017 году уменьшатся на </w:t>
      </w:r>
      <w:r>
        <w:rPr>
          <w:rFonts w:ascii="Times New Roman" w:hAnsi="Times New Roman" w:cs="Times New Roman"/>
        </w:rPr>
        <w:t>81,8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>24,6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965EFE" w:rsidRPr="00542286" w:rsidRDefault="00965EFE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Объем доходов  бюджета на 2018 год</w:t>
      </w:r>
      <w:r>
        <w:rPr>
          <w:rFonts w:ascii="Times New Roman" w:hAnsi="Times New Roman" w:cs="Times New Roman"/>
        </w:rPr>
        <w:t xml:space="preserve"> прогнозируется в сумме  821,3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251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30,6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251,0</w:t>
      </w:r>
      <w:r w:rsidRPr="00542286">
        <w:rPr>
          <w:rFonts w:ascii="Times New Roman" w:hAnsi="Times New Roman" w:cs="Times New Roman"/>
        </w:rPr>
        <w:t xml:space="preserve"> тыс. рублей,</w:t>
      </w:r>
      <w:r>
        <w:rPr>
          <w:rFonts w:ascii="Times New Roman" w:hAnsi="Times New Roman" w:cs="Times New Roman"/>
        </w:rPr>
        <w:t xml:space="preserve"> или 100,0 процентов</w:t>
      </w:r>
      <w:r w:rsidRPr="00542286">
        <w:rPr>
          <w:rFonts w:ascii="Times New Roman" w:hAnsi="Times New Roman" w:cs="Times New Roman"/>
        </w:rPr>
        <w:t>.</w:t>
      </w:r>
    </w:p>
    <w:p w:rsidR="00965EFE" w:rsidRPr="00542286" w:rsidRDefault="00965EFE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 xml:space="preserve">Объем доходов  бюджета на 2019 год прогнозируется в сумме  </w:t>
      </w:r>
      <w:r>
        <w:rPr>
          <w:rFonts w:ascii="Times New Roman" w:hAnsi="Times New Roman" w:cs="Times New Roman"/>
        </w:rPr>
        <w:t>821,3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251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30,6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251</w:t>
      </w:r>
      <w:r w:rsidRPr="00542286">
        <w:rPr>
          <w:rFonts w:ascii="Times New Roman" w:hAnsi="Times New Roman" w:cs="Times New Roman"/>
        </w:rPr>
        <w:t xml:space="preserve">,0 тыс. рублей, </w:t>
      </w:r>
      <w:r>
        <w:rPr>
          <w:rFonts w:ascii="Times New Roman" w:hAnsi="Times New Roman" w:cs="Times New Roman"/>
        </w:rPr>
        <w:t>или 100,0 процентов</w:t>
      </w:r>
      <w:r w:rsidRPr="00542286">
        <w:rPr>
          <w:rFonts w:ascii="Times New Roman" w:hAnsi="Times New Roman" w:cs="Times New Roman"/>
        </w:rPr>
        <w:t>.</w:t>
      </w:r>
    </w:p>
    <w:p w:rsidR="00965EFE" w:rsidRPr="00590889" w:rsidRDefault="00965EFE" w:rsidP="00F66A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осуществлено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EFE" w:rsidRDefault="00965EFE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прогнозируется бездефицитный,  с объемом доходов и расходов в 2017 году в сумме  821,3 тыс. рублей. </w:t>
      </w:r>
    </w:p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5F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«Шаровичское сельское поселение» характеризуются понижением темпов роста к предшествующим годам: к оценке 2016 года на  9,5 %,  к факту 2015 года на 13,2 процента. </w:t>
      </w:r>
    </w:p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в 2017 году доходов бюджета муниципального образования «Шаровичское сельское поселение» по сравнению с оценкой 2016 года связано в основном с понижением безвозмездных поступлений.</w:t>
      </w:r>
    </w:p>
    <w:p w:rsidR="00965EFE" w:rsidRPr="00394AA8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2017 году по сравнению отчетом 2015 года увеличен на 20,8 тыс. рублей, или на 109,0 %, к оценке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уменьшение составит  81,8  тыс. рублей, или  24,6 процента. </w:t>
      </w:r>
    </w:p>
    <w:p w:rsidR="00965EFE" w:rsidRPr="00394AA8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F66A8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Основные характеристики бюджета «Шаровичское сельское поселение» на 2015 – 2019  годы                                                                                          </w:t>
      </w:r>
    </w:p>
    <w:p w:rsidR="00965EFE" w:rsidRPr="002220F3" w:rsidRDefault="00965EFE" w:rsidP="002220F3">
      <w:pPr>
        <w:pStyle w:val="BodyTextIndent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2220F3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2"/>
        <w:gridCol w:w="1276"/>
        <w:gridCol w:w="1275"/>
        <w:gridCol w:w="1276"/>
        <w:gridCol w:w="1418"/>
        <w:gridCol w:w="1417"/>
      </w:tblGrid>
      <w:tr w:rsidR="00965EFE" w:rsidRPr="00A4242E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965EFE" w:rsidRPr="00A4242E" w:rsidRDefault="00965EF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965EFE" w:rsidRPr="00A4242E" w:rsidRDefault="00965EF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965EFE" w:rsidRPr="00A4242E" w:rsidRDefault="00965EF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418" w:type="dxa"/>
            <w:vAlign w:val="center"/>
          </w:tcPr>
          <w:p w:rsidR="00965EFE" w:rsidRPr="00A4242E" w:rsidRDefault="00965EF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417" w:type="dxa"/>
            <w:vAlign w:val="center"/>
          </w:tcPr>
          <w:p w:rsidR="00965EFE" w:rsidRPr="00A4242E" w:rsidRDefault="00965EF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965EFE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945,7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907,7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  <w:tc>
          <w:tcPr>
            <w:tcW w:w="1418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  <w:tc>
          <w:tcPr>
            <w:tcW w:w="1417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</w:tr>
      <w:tr w:rsidR="00965EFE" w:rsidRPr="00A4242E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251,0</w:t>
            </w:r>
          </w:p>
        </w:tc>
        <w:tc>
          <w:tcPr>
            <w:tcW w:w="1418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251,0</w:t>
            </w:r>
          </w:p>
        </w:tc>
        <w:tc>
          <w:tcPr>
            <w:tcW w:w="1417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251,0</w:t>
            </w:r>
          </w:p>
        </w:tc>
      </w:tr>
      <w:tr w:rsidR="00965EF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2296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2296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2296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251,0</w:t>
            </w:r>
          </w:p>
        </w:tc>
        <w:tc>
          <w:tcPr>
            <w:tcW w:w="1418" w:type="dxa"/>
            <w:vAlign w:val="center"/>
          </w:tcPr>
          <w:p w:rsidR="00965EFE" w:rsidRPr="00B2296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251,0</w:t>
            </w:r>
          </w:p>
        </w:tc>
        <w:tc>
          <w:tcPr>
            <w:tcW w:w="1417" w:type="dxa"/>
            <w:vAlign w:val="center"/>
          </w:tcPr>
          <w:p w:rsidR="00965EFE" w:rsidRPr="00B2296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251,0</w:t>
            </w:r>
          </w:p>
        </w:tc>
      </w:tr>
      <w:tr w:rsidR="00965EF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65EF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5EF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965EF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418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965EF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5EF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65EF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5EF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715,5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574,9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570,3</w:t>
            </w:r>
          </w:p>
        </w:tc>
        <w:tc>
          <w:tcPr>
            <w:tcW w:w="1418" w:type="dxa"/>
            <w:vAlign w:val="center"/>
          </w:tcPr>
          <w:p w:rsidR="00965EFE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5EFE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570,3</w:t>
            </w:r>
          </w:p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570,3</w:t>
            </w:r>
          </w:p>
        </w:tc>
      </w:tr>
      <w:tr w:rsidR="00965EFE" w:rsidRPr="00A4242E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1418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511,0</w:t>
            </w:r>
          </w:p>
        </w:tc>
      </w:tr>
      <w:tr w:rsidR="00965EFE" w:rsidRPr="00A4242E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8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7" w:type="dxa"/>
            <w:vAlign w:val="center"/>
          </w:tcPr>
          <w:p w:rsidR="00965EFE" w:rsidRPr="00BC13AF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</w:tr>
      <w:tr w:rsidR="00965EFE" w:rsidRPr="00A4242E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5EFE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1020,6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  <w:tc>
          <w:tcPr>
            <w:tcW w:w="1418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  <w:tc>
          <w:tcPr>
            <w:tcW w:w="1417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821,3</w:t>
            </w:r>
          </w:p>
        </w:tc>
      </w:tr>
      <w:tr w:rsidR="00965EFE" w:rsidRPr="00A4242E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A4242E" w:rsidRDefault="00965EF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-74,9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C3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-163,9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965EFE" w:rsidRPr="004C3203" w:rsidRDefault="00965EF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089">
        <w:rPr>
          <w:rFonts w:ascii="Times New Roman" w:hAnsi="Times New Roman" w:cs="Times New Roman"/>
          <w:sz w:val="28"/>
          <w:szCs w:val="28"/>
        </w:rPr>
        <w:t xml:space="preserve">Структура 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8F6089">
        <w:rPr>
          <w:rFonts w:ascii="Times New Roman" w:hAnsi="Times New Roman" w:cs="Times New Roman"/>
          <w:sz w:val="28"/>
          <w:szCs w:val="28"/>
        </w:rPr>
        <w:t>представлена на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6089">
        <w:rPr>
          <w:rFonts w:ascii="Times New Roman" w:hAnsi="Times New Roman" w:cs="Times New Roman"/>
          <w:sz w:val="28"/>
          <w:szCs w:val="28"/>
        </w:rPr>
        <w:t>грамме</w:t>
      </w:r>
    </w:p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2E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195" w:dyaOrig="3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82.25pt" o:ole="">
            <v:imagedata r:id="rId6" o:title=""/>
            <o:lock v:ext="edit" aspectratio="f"/>
          </v:shape>
          <o:OLEObject Type="Embed" ProgID="Excel.Chart.8" ShapeID="_x0000_i1025" DrawAspect="Content" ObjectID="_1543659253" r:id="rId7"/>
        </w:object>
      </w:r>
    </w:p>
    <w:p w:rsidR="00965EFE" w:rsidRPr="008F6089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100,0 %. </w:t>
      </w:r>
    </w:p>
    <w:p w:rsidR="00965EFE" w:rsidRDefault="00965EF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2017 году будут составлять доходы от  земельного налога –  87,6 процента.                                                                         </w:t>
      </w:r>
    </w:p>
    <w:p w:rsidR="00965EFE" w:rsidRPr="00DB7070" w:rsidRDefault="00965EF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</w:t>
      </w:r>
      <w:r w:rsidRPr="00D04E81">
        <w:rPr>
          <w:rFonts w:ascii="Times New Roman" w:hAnsi="Times New Roman" w:cs="Times New Roman"/>
          <w:sz w:val="28"/>
          <w:szCs w:val="28"/>
        </w:rPr>
        <w:t>Поступление</w:t>
      </w:r>
      <w:r w:rsidRPr="00DB7070">
        <w:rPr>
          <w:rFonts w:ascii="Times New Roman" w:hAnsi="Times New Roman" w:cs="Times New Roman"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b/>
          <w:bCs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Pr="00DB7070">
        <w:rPr>
          <w:rFonts w:ascii="Times New Roman" w:hAnsi="Times New Roman" w:cs="Times New Roman"/>
          <w:sz w:val="28"/>
          <w:szCs w:val="28"/>
        </w:rPr>
        <w:br/>
      </w:r>
      <w:r w:rsidRPr="00637F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63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37F03">
        <w:rPr>
          <w:rFonts w:ascii="Times New Roman" w:hAnsi="Times New Roman" w:cs="Times New Roman"/>
          <w:sz w:val="28"/>
          <w:szCs w:val="28"/>
        </w:rPr>
        <w:t>40.0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DB7070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DB70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года. Темп роста прогноза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 xml:space="preserve"> 81,1</w:t>
      </w:r>
      <w:r w:rsidRPr="00DB707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65EFE" w:rsidRDefault="00965EF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2017 год составляет  2,4 %,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ниже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 0,8 процентных пункта.</w:t>
      </w:r>
    </w:p>
    <w:p w:rsidR="00965EFE" w:rsidRPr="00BB69DC" w:rsidRDefault="00965EF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B69DC">
        <w:rPr>
          <w:rFonts w:ascii="Times New Roman" w:hAnsi="Times New Roman" w:cs="Times New Roman"/>
          <w:sz w:val="28"/>
          <w:szCs w:val="28"/>
        </w:rPr>
        <w:t xml:space="preserve"> Прогноз </w:t>
      </w:r>
      <w:r>
        <w:rPr>
          <w:rFonts w:ascii="Times New Roman" w:hAnsi="Times New Roman" w:cs="Times New Roman"/>
          <w:sz w:val="28"/>
          <w:szCs w:val="28"/>
        </w:rPr>
        <w:t>на 2018 год ожидается в сумме 6,</w:t>
      </w:r>
      <w:r w:rsidRPr="00BB69D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рублей, на 2019 год – 6,</w:t>
      </w:r>
      <w:r w:rsidRPr="00BB69DC">
        <w:rPr>
          <w:rFonts w:ascii="Times New Roman" w:hAnsi="Times New Roman" w:cs="Times New Roman"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EFE" w:rsidRDefault="00965EFE" w:rsidP="00F66A8C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Доходы бюджета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на 2017 год прогнозируются в сумме 25,0 тыс. рублей, или 102,9  % к показателю исполнения 2015 года и 125,0 % к оценке поступлений налога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  <w:t xml:space="preserve">в  2016 году. </w:t>
      </w:r>
    </w:p>
    <w:p w:rsidR="00965EFE" w:rsidRDefault="00965EF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7A5453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в 2017 году – 220,0 тыс. рублей. Ожидаемая оценка 2016 года составит 302,8 тыс. рублей, исполнено в 2015 году – 198,5 тыс. рублей.</w:t>
      </w:r>
      <w:r w:rsidRPr="00783A37">
        <w:t xml:space="preserve"> </w:t>
      </w:r>
      <w:r w:rsidRPr="00CC7788">
        <w:rPr>
          <w:rFonts w:ascii="Times New Roman" w:hAnsi="Times New Roman" w:cs="Times New Roman"/>
          <w:sz w:val="28"/>
          <w:szCs w:val="28"/>
        </w:rPr>
        <w:t>Прогноз поступления зем</w:t>
      </w:r>
      <w:r>
        <w:rPr>
          <w:rFonts w:ascii="Times New Roman" w:hAnsi="Times New Roman" w:cs="Times New Roman"/>
          <w:sz w:val="28"/>
          <w:szCs w:val="28"/>
        </w:rPr>
        <w:t>ельного налога на 2018 год – 220,0 тыс. рублей, на 2019 год – 220,0</w:t>
      </w:r>
      <w:r w:rsidRPr="00CC778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EFE" w:rsidRPr="00CC7788" w:rsidRDefault="00965EF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8">
        <w:rPr>
          <w:rFonts w:ascii="Times New Roman" w:hAnsi="Times New Roman" w:cs="Times New Roman"/>
          <w:b/>
          <w:bCs/>
          <w:sz w:val="28"/>
          <w:szCs w:val="28"/>
        </w:rPr>
        <w:t>5. Безвозмездные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поступления </w:t>
      </w:r>
    </w:p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570,3 тыс. рублей. Понижение к ожидаемой оценке 2016 года составляет  4,6 тыс. рублей, или 0,8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965EFE" w:rsidRDefault="00965EFE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69,4 процента, что на 6,1 процентных пункта выше уровня оценки 2016 года.</w:t>
      </w:r>
    </w:p>
    <w:p w:rsidR="00965EFE" w:rsidRDefault="00965EFE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-  96,2 процента:</w:t>
      </w:r>
    </w:p>
    <w:p w:rsidR="00965EFE" w:rsidRDefault="00965EFE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составляют  511,0 тыс. рублей;</w:t>
      </w:r>
    </w:p>
    <w:p w:rsidR="00965EFE" w:rsidRDefault="00965EFE" w:rsidP="003C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бюджетам поселений  - 59,3 тыс. рублей,</w:t>
      </w:r>
      <w:r w:rsidRPr="003C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 92,3 % к ожидаемой оценке 2016 года;</w:t>
      </w:r>
    </w:p>
    <w:p w:rsidR="00965EFE" w:rsidRPr="001E3ED6" w:rsidRDefault="00965EFE" w:rsidP="00997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E3ED6">
        <w:rPr>
          <w:rFonts w:ascii="Times New Roman" w:hAnsi="Times New Roman" w:cs="Times New Roman"/>
          <w:sz w:val="28"/>
          <w:szCs w:val="28"/>
        </w:rPr>
        <w:t xml:space="preserve">Размер дотаций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1E3ED6">
        <w:rPr>
          <w:rFonts w:ascii="Times New Roman" w:hAnsi="Times New Roman" w:cs="Times New Roman"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2016 годом  на 4,6</w:t>
      </w:r>
      <w:r w:rsidRPr="001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E3ED6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sz w:val="28"/>
          <w:szCs w:val="28"/>
        </w:rPr>
        <w:t>0,8 процента</w:t>
      </w:r>
      <w:r w:rsidRPr="001E3E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5EFE" w:rsidRDefault="00965EFE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65EFE" w:rsidRDefault="00965EFE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EFE" w:rsidRDefault="00965EFE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EFE" w:rsidRDefault="00965EFE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EFE" w:rsidRPr="000E35E5" w:rsidRDefault="00965EFE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безвозмездных поступлений </w:t>
      </w:r>
    </w:p>
    <w:p w:rsidR="00965EFE" w:rsidRPr="000E35E5" w:rsidRDefault="00965EFE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>на 2017 год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2018 и 2019 годов</w:t>
      </w:r>
    </w:p>
    <w:p w:rsidR="00965EFE" w:rsidRPr="00CF3049" w:rsidRDefault="00965EFE" w:rsidP="000E35E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CF304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993"/>
        <w:gridCol w:w="1275"/>
        <w:gridCol w:w="993"/>
        <w:gridCol w:w="1275"/>
        <w:gridCol w:w="851"/>
        <w:gridCol w:w="1134"/>
      </w:tblGrid>
      <w:tr w:rsidR="00965EFE" w:rsidRPr="00A4242E">
        <w:tc>
          <w:tcPr>
            <w:tcW w:w="1951" w:type="dxa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год</w:t>
            </w:r>
          </w:p>
        </w:tc>
        <w:tc>
          <w:tcPr>
            <w:tcW w:w="993" w:type="dxa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год</w:t>
            </w:r>
          </w:p>
        </w:tc>
        <w:tc>
          <w:tcPr>
            <w:tcW w:w="1275" w:type="dxa"/>
          </w:tcPr>
          <w:p w:rsidR="00965EFE" w:rsidRPr="00A4242E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2017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</w:t>
            </w:r>
          </w:p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993" w:type="dxa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год</w:t>
            </w:r>
          </w:p>
        </w:tc>
        <w:tc>
          <w:tcPr>
            <w:tcW w:w="1275" w:type="dxa"/>
          </w:tcPr>
          <w:p w:rsidR="00965EFE" w:rsidRPr="00A4242E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2018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</w:t>
            </w:r>
          </w:p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851" w:type="dxa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2019 год</w:t>
            </w:r>
          </w:p>
        </w:tc>
        <w:tc>
          <w:tcPr>
            <w:tcW w:w="1134" w:type="dxa"/>
          </w:tcPr>
          <w:p w:rsidR="00965EFE" w:rsidRPr="00A4242E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2019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</w:t>
            </w:r>
          </w:p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</w:tr>
      <w:tr w:rsidR="00965EFE" w:rsidRPr="00A4242E">
        <w:tc>
          <w:tcPr>
            <w:tcW w:w="1951" w:type="dxa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</w:t>
            </w:r>
          </w:p>
        </w:tc>
        <w:tc>
          <w:tcPr>
            <w:tcW w:w="992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451,8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1134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5EFE" w:rsidRPr="00A4242E">
        <w:tc>
          <w:tcPr>
            <w:tcW w:w="1951" w:type="dxa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5EFE" w:rsidRPr="00A4242E">
        <w:tc>
          <w:tcPr>
            <w:tcW w:w="1951" w:type="dxa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Итого дотаций</w:t>
            </w:r>
          </w:p>
        </w:tc>
        <w:tc>
          <w:tcPr>
            <w:tcW w:w="992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511,3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511,0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511,0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511,0</w:t>
            </w:r>
          </w:p>
        </w:tc>
        <w:tc>
          <w:tcPr>
            <w:tcW w:w="1134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65EFE" w:rsidRPr="00A4242E">
        <w:tc>
          <w:tcPr>
            <w:tcW w:w="1951" w:type="dxa"/>
          </w:tcPr>
          <w:p w:rsidR="00965EFE" w:rsidRPr="00B63698" w:rsidRDefault="00965EFE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</w:rPr>
              <w:t>субвенция бюджетам  поселений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965EFE" w:rsidRPr="00B63698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3" w:type="dxa"/>
            <w:vAlign w:val="center"/>
          </w:tcPr>
          <w:p w:rsidR="00965EFE" w:rsidRPr="00B63698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65EFE" w:rsidRPr="00B63698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65EFE" w:rsidRPr="00B63698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65EFE" w:rsidRPr="00B63698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965EFE" w:rsidRPr="00B63698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65EFE" w:rsidRPr="00B63698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5EFE" w:rsidRPr="00A4242E">
        <w:tc>
          <w:tcPr>
            <w:tcW w:w="1951" w:type="dxa"/>
          </w:tcPr>
          <w:p w:rsidR="00965EFE" w:rsidRPr="00A4242E" w:rsidRDefault="00965EFE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субвенции бюджетам  поселений на осуществление  первичного  воинского  учета на территориях, где отсутствуют военные  комиссариаты</w:t>
            </w:r>
          </w:p>
        </w:tc>
        <w:tc>
          <w:tcPr>
            <w:tcW w:w="992" w:type="dxa"/>
            <w:vAlign w:val="center"/>
          </w:tcPr>
          <w:p w:rsidR="00965EFE" w:rsidRPr="00B63698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993" w:type="dxa"/>
            <w:vAlign w:val="center"/>
          </w:tcPr>
          <w:p w:rsidR="00965EFE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965EFE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vAlign w:val="center"/>
          </w:tcPr>
          <w:p w:rsidR="00965EFE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965EFE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965EFE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vAlign w:val="center"/>
          </w:tcPr>
          <w:p w:rsidR="00965EFE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5EFE" w:rsidRPr="00A4242E">
        <w:tc>
          <w:tcPr>
            <w:tcW w:w="1951" w:type="dxa"/>
          </w:tcPr>
          <w:p w:rsidR="00965EFE" w:rsidRPr="00B63698" w:rsidRDefault="00965EFE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Pr="00B63698">
              <w:rPr>
                <w:rFonts w:ascii="Times New Roman" w:hAnsi="Times New Roman" w:cs="Times New Roman"/>
                <w:b/>
                <w:bCs/>
              </w:rPr>
              <w:t>субвенци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992" w:type="dxa"/>
            <w:vAlign w:val="center"/>
          </w:tcPr>
          <w:p w:rsidR="00965EFE" w:rsidRPr="00B63698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63,6</w:t>
            </w:r>
          </w:p>
        </w:tc>
        <w:tc>
          <w:tcPr>
            <w:tcW w:w="993" w:type="dxa"/>
            <w:vAlign w:val="center"/>
          </w:tcPr>
          <w:p w:rsidR="00965EFE" w:rsidRPr="00B63698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965EFE" w:rsidRPr="00B63698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93,4</w:t>
            </w:r>
          </w:p>
        </w:tc>
        <w:tc>
          <w:tcPr>
            <w:tcW w:w="993" w:type="dxa"/>
            <w:vAlign w:val="center"/>
          </w:tcPr>
          <w:p w:rsidR="00965EFE" w:rsidRPr="00B63698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965EFE" w:rsidRPr="00B63698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965EFE" w:rsidRPr="00B63698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134" w:type="dxa"/>
            <w:vAlign w:val="center"/>
          </w:tcPr>
          <w:p w:rsidR="00965EFE" w:rsidRPr="00B63698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65EFE" w:rsidRPr="00A4242E">
        <w:tc>
          <w:tcPr>
            <w:tcW w:w="1951" w:type="dxa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992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65EFE" w:rsidRPr="000E35E5" w:rsidRDefault="00965EFE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5EFE" w:rsidRPr="00A4242E">
        <w:tc>
          <w:tcPr>
            <w:tcW w:w="1951" w:type="dxa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Всего безвозмездных поступлений</w:t>
            </w:r>
          </w:p>
        </w:tc>
        <w:tc>
          <w:tcPr>
            <w:tcW w:w="992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574,9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570,3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99,2</w:t>
            </w:r>
          </w:p>
        </w:tc>
        <w:tc>
          <w:tcPr>
            <w:tcW w:w="993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570,3</w:t>
            </w:r>
          </w:p>
        </w:tc>
        <w:tc>
          <w:tcPr>
            <w:tcW w:w="1275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570,3</w:t>
            </w:r>
          </w:p>
        </w:tc>
        <w:tc>
          <w:tcPr>
            <w:tcW w:w="1134" w:type="dxa"/>
            <w:vAlign w:val="center"/>
          </w:tcPr>
          <w:p w:rsidR="00965EFE" w:rsidRPr="000E35E5" w:rsidRDefault="00965EFE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965EFE" w:rsidRDefault="00965EFE" w:rsidP="007C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Расходы проекта бюджета муниципального образования «Шаровичское сельское поселение»</w:t>
      </w:r>
    </w:p>
    <w:p w:rsidR="00965EFE" w:rsidRDefault="00965EFE" w:rsidP="00F66A8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Шаровичского сельского Совета народных депутатов «О бюджете муниципального образования «Шаровичское сельское поселение» на 2017 год составляет -  821,3 тыс. рублей.</w:t>
      </w:r>
    </w:p>
    <w:p w:rsidR="00965EFE" w:rsidRDefault="00965EFE" w:rsidP="00F66A8C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23,4%, к уровню 2015 года на 19,5 процента. </w:t>
      </w:r>
    </w:p>
    <w:p w:rsidR="00965EFE" w:rsidRDefault="00965EFE" w:rsidP="00F66A8C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2015 - 2019 года в разрезе разделов классификации расходов бюджетов представлена в таблице.</w:t>
      </w:r>
    </w:p>
    <w:p w:rsidR="00965EFE" w:rsidRDefault="00965EFE" w:rsidP="00F66A8C">
      <w:pPr>
        <w:pStyle w:val="Con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8988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48"/>
        <w:gridCol w:w="423"/>
        <w:gridCol w:w="1140"/>
        <w:gridCol w:w="1140"/>
        <w:gridCol w:w="1191"/>
        <w:gridCol w:w="1273"/>
        <w:gridCol w:w="1273"/>
      </w:tblGrid>
      <w:tr w:rsidR="00965EFE" w:rsidRPr="00A4242E">
        <w:trPr>
          <w:trHeight w:val="68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5EFE" w:rsidRDefault="00965EFE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5EFE" w:rsidRDefault="00965EFE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FE" w:rsidRDefault="00965EFE" w:rsidP="00C77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5EFE" w:rsidRDefault="00965EF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FE" w:rsidRDefault="00965EF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5EFE" w:rsidRPr="00A4242E" w:rsidRDefault="00965EF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5EFE" w:rsidRPr="00A4242E" w:rsidRDefault="00965EF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5EFE" w:rsidRPr="00A4242E" w:rsidRDefault="00965EF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965EFE" w:rsidRPr="00A4242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5EFE" w:rsidRDefault="00965EFE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5EFE" w:rsidRDefault="00965EFE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5EFE" w:rsidRDefault="00965EFE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5EFE" w:rsidRDefault="00965EFE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5EFE" w:rsidRDefault="00965EFE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5EFE" w:rsidRDefault="00965EFE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EFE" w:rsidRPr="00A4242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FE" w:rsidRDefault="00965EF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Default="00965EF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746,0</w:t>
            </w:r>
          </w:p>
        </w:tc>
      </w:tr>
      <w:tr w:rsidR="00965EFE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Pr="00A4242E" w:rsidRDefault="00965EF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Pr="00A4242E" w:rsidRDefault="00965EFE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FE" w:rsidRDefault="00965EF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Default="00965EF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965EFE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</w:t>
            </w:r>
          </w:p>
          <w:p w:rsidR="00965EFE" w:rsidRDefault="00965EF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965EFE" w:rsidRDefault="00965EF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965EFE" w:rsidRPr="00A4242E" w:rsidRDefault="00965EF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Pr="00A4242E" w:rsidRDefault="00965EFE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FE" w:rsidRDefault="00965EF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Default="00965EF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965EFE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FE" w:rsidRDefault="00965EF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Default="00965EF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65EFE" w:rsidRPr="00A4242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4242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EFE" w:rsidRDefault="00965EF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Default="00965EF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EFE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EFE" w:rsidRDefault="00965EF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Default="00965EF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5EFE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Pr="00A4242E" w:rsidRDefault="00965EF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Pr="00A4242E" w:rsidRDefault="00965EFE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EFE" w:rsidRDefault="00965EF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Default="00965EF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5EFE" w:rsidRPr="00A4242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E" w:rsidRDefault="00965EFE" w:rsidP="00CC19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EFE" w:rsidRDefault="00965EF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Default="00965EF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821,3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821,3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FE" w:rsidRPr="00A4242E" w:rsidRDefault="00965EFE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821,3</w:t>
            </w:r>
          </w:p>
        </w:tc>
      </w:tr>
    </w:tbl>
    <w:p w:rsidR="00965EFE" w:rsidRDefault="00965EF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общего объема расходов бюджета наибольший удельный вес занимают расходы по разделам: «Общегосударственные вопросы» (90,8%), «Национальная оборона» (7,2%), объем которых в совокупности составляет в расходах 2017 года – 98,0 процентов. </w:t>
      </w:r>
    </w:p>
    <w:p w:rsidR="00965EFE" w:rsidRDefault="00965EF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расходов бюджета 2017 года представлена на диаграмме</w:t>
      </w:r>
    </w:p>
    <w:p w:rsidR="00965EFE" w:rsidRDefault="00965EF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42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object w:dxaOrig="8168" w:dyaOrig="4510">
          <v:shape id="_x0000_i1026" type="#_x0000_t75" style="width:408.75pt;height:225.75pt" o:ole="">
            <v:imagedata r:id="rId8" o:title=""/>
            <o:lock v:ext="edit" aspectratio="f"/>
          </v:shape>
          <o:OLEObject Type="Embed" ProgID="Excel.Chart.8" ShapeID="_x0000_i1026" DrawAspect="Content" ObjectID="_1543659254" r:id="rId9"/>
        </w:object>
      </w:r>
    </w:p>
    <w:p w:rsidR="00965EFE" w:rsidRDefault="00965EFE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таблице: </w:t>
      </w:r>
    </w:p>
    <w:p w:rsidR="00965EFE" w:rsidRDefault="00965EFE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 выше оценки 2016 года на 7,6% и ниже расходов  2015 года на 25,8 процента.</w:t>
      </w:r>
    </w:p>
    <w:p w:rsidR="00965EFE" w:rsidRPr="007560A1" w:rsidRDefault="00965EFE" w:rsidP="007560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0A1">
        <w:rPr>
          <w:rFonts w:ascii="Times New Roman" w:hAnsi="Times New Roman" w:cs="Times New Roman"/>
          <w:sz w:val="28"/>
          <w:szCs w:val="28"/>
        </w:rPr>
        <w:t xml:space="preserve">На содержание и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Шарович</w:t>
      </w:r>
      <w:r w:rsidRPr="007560A1">
        <w:rPr>
          <w:rFonts w:ascii="Times New Roman" w:hAnsi="Times New Roman" w:cs="Times New Roman"/>
          <w:sz w:val="28"/>
          <w:szCs w:val="28"/>
        </w:rPr>
        <w:t>ской сельской а</w:t>
      </w:r>
      <w:r>
        <w:rPr>
          <w:rFonts w:ascii="Times New Roman" w:hAnsi="Times New Roman" w:cs="Times New Roman"/>
          <w:sz w:val="28"/>
          <w:szCs w:val="28"/>
        </w:rPr>
        <w:t>дминистрации запланировано 423,5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 Денежное содержание главы исполнительной власти в 2017 году составит </w:t>
      </w:r>
      <w:r>
        <w:rPr>
          <w:rFonts w:ascii="Times New Roman" w:hAnsi="Times New Roman" w:cs="Times New Roman"/>
          <w:sz w:val="28"/>
          <w:szCs w:val="28"/>
        </w:rPr>
        <w:t xml:space="preserve"> 312,5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EFE" w:rsidRPr="007560A1" w:rsidRDefault="00965EFE" w:rsidP="00F66A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0A1">
        <w:rPr>
          <w:rFonts w:ascii="Times New Roman" w:hAnsi="Times New Roman" w:cs="Times New Roman"/>
        </w:rPr>
        <w:t xml:space="preserve">Согласно </w:t>
      </w:r>
      <w:hyperlink r:id="rId10" w:history="1">
        <w:r w:rsidRPr="007560A1">
          <w:rPr>
            <w:rFonts w:ascii="Times New Roman" w:hAnsi="Times New Roman" w:cs="Times New Roman"/>
            <w:color w:val="000000"/>
          </w:rPr>
          <w:t>статье 81</w:t>
        </w:r>
      </w:hyperlink>
      <w:r w:rsidRPr="007560A1">
        <w:rPr>
          <w:rFonts w:ascii="Times New Roman" w:hAnsi="Times New Roman" w:cs="Times New Roman"/>
        </w:rP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10,0 тыс. рублей.</w:t>
      </w:r>
    </w:p>
    <w:p w:rsidR="00965EFE" w:rsidRPr="003377D9" w:rsidRDefault="00965EFE" w:rsidP="003377D9">
      <w:pPr>
        <w:pStyle w:val="BodyTextIndent2"/>
        <w:tabs>
          <w:tab w:val="left" w:pos="6480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Тыс.</w:t>
      </w:r>
      <w:r w:rsidRPr="003377D9"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6"/>
        <w:gridCol w:w="1093"/>
        <w:gridCol w:w="992"/>
        <w:gridCol w:w="1134"/>
        <w:gridCol w:w="992"/>
        <w:gridCol w:w="1134"/>
        <w:gridCol w:w="992"/>
        <w:gridCol w:w="851"/>
      </w:tblGrid>
      <w:tr w:rsidR="00965EFE" w:rsidRPr="00A4242E">
        <w:tc>
          <w:tcPr>
            <w:tcW w:w="2276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093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 2016 год   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2017 год     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17/ 2016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 год     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2018 к 2017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2019 год     </w:t>
            </w:r>
          </w:p>
        </w:tc>
        <w:tc>
          <w:tcPr>
            <w:tcW w:w="851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 </w:t>
            </w:r>
          </w:p>
          <w:p w:rsidR="00965EFE" w:rsidRPr="00A4242E" w:rsidRDefault="00965EFE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роста </w:t>
            </w:r>
          </w:p>
          <w:p w:rsidR="00965EFE" w:rsidRPr="00A4242E" w:rsidRDefault="00965EFE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65EFE" w:rsidRPr="00A4242E" w:rsidRDefault="00965EFE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A424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65EFE" w:rsidRPr="00A4242E">
        <w:trPr>
          <w:trHeight w:val="764"/>
        </w:trPr>
        <w:tc>
          <w:tcPr>
            <w:tcW w:w="2276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093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left="-149" w:firstLine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851" w:type="dxa"/>
          </w:tcPr>
          <w:p w:rsidR="00965EFE" w:rsidRPr="00A4242E" w:rsidRDefault="00965EFE" w:rsidP="003A298C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65EFE" w:rsidRPr="00A4242E">
        <w:tc>
          <w:tcPr>
            <w:tcW w:w="2276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      </w:r>
          </w:p>
        </w:tc>
        <w:tc>
          <w:tcPr>
            <w:tcW w:w="1093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851" w:type="dxa"/>
          </w:tcPr>
          <w:p w:rsidR="00965EFE" w:rsidRPr="00A4242E" w:rsidRDefault="00965EFE" w:rsidP="003A298C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65EFE" w:rsidRPr="00A4242E">
        <w:tc>
          <w:tcPr>
            <w:tcW w:w="2276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093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EFE" w:rsidRPr="00A4242E">
        <w:tc>
          <w:tcPr>
            <w:tcW w:w="2276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 «Обеспечение проведение выборов  и референдумов»</w:t>
            </w:r>
          </w:p>
        </w:tc>
        <w:tc>
          <w:tcPr>
            <w:tcW w:w="1093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EFE" w:rsidRPr="00A4242E">
        <w:tc>
          <w:tcPr>
            <w:tcW w:w="2276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 «Резервные фонды»</w:t>
            </w:r>
          </w:p>
        </w:tc>
        <w:tc>
          <w:tcPr>
            <w:tcW w:w="1093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965EFE" w:rsidRPr="00A4242E" w:rsidRDefault="00965EFE" w:rsidP="003A298C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100,0</w:t>
            </w:r>
          </w:p>
        </w:tc>
      </w:tr>
      <w:tr w:rsidR="00965EFE" w:rsidRPr="00A4242E">
        <w:tc>
          <w:tcPr>
            <w:tcW w:w="2276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93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876,7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746,0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746,0</w:t>
            </w:r>
          </w:p>
        </w:tc>
        <w:tc>
          <w:tcPr>
            <w:tcW w:w="1134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746,0</w:t>
            </w:r>
          </w:p>
        </w:tc>
        <w:tc>
          <w:tcPr>
            <w:tcW w:w="851" w:type="dxa"/>
          </w:tcPr>
          <w:p w:rsidR="00965EFE" w:rsidRPr="00A4242E" w:rsidRDefault="00965EFE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965EFE" w:rsidRDefault="00965EFE" w:rsidP="00F66A8C">
      <w:pPr>
        <w:pStyle w:val="ConsPlusNormal"/>
        <w:ind w:firstLine="540"/>
        <w:jc w:val="both"/>
      </w:pPr>
    </w:p>
    <w:p w:rsidR="00965EFE" w:rsidRPr="00274B18" w:rsidRDefault="00965EFE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02 «Национальная оборона»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за счет субвенции из областного бюджета на осуществление отдельных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первичного воинского учета на территориях, где отсутствуют военные комиссариаты – 59,3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5EFE" w:rsidRDefault="00965EFE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 на 1,8 процента.</w:t>
      </w:r>
    </w:p>
    <w:p w:rsidR="00965EFE" w:rsidRPr="00274B18" w:rsidRDefault="00965EFE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03 «Национальная безопасность и правоохранительная деятельность»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в сумме </w:t>
      </w:r>
      <w:r>
        <w:rPr>
          <w:rFonts w:ascii="Times New Roman" w:hAnsi="Times New Roman" w:cs="Times New Roman"/>
          <w:sz w:val="28"/>
          <w:szCs w:val="28"/>
        </w:rPr>
        <w:t xml:space="preserve"> – 6,0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5EFE" w:rsidRDefault="00965EFE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увеличены  на 6,0 тыс. рублей.</w:t>
      </w:r>
    </w:p>
    <w:p w:rsidR="00965EFE" w:rsidRPr="00274B18" w:rsidRDefault="00965EFE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04 «Национальная экономика»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в сумме </w:t>
      </w:r>
      <w:r>
        <w:rPr>
          <w:rFonts w:ascii="Times New Roman" w:hAnsi="Times New Roman" w:cs="Times New Roman"/>
          <w:sz w:val="28"/>
          <w:szCs w:val="28"/>
        </w:rPr>
        <w:t xml:space="preserve"> – 2,0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5EFE" w:rsidRDefault="00965EFE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увеличены на 2,0 тыс. рублей.</w:t>
      </w:r>
    </w:p>
    <w:p w:rsidR="00965EFE" w:rsidRDefault="00965EF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B2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в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8,0 тыс. рублей.</w:t>
      </w:r>
    </w:p>
    <w:p w:rsidR="00965EFE" w:rsidRDefault="00965EF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08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динамики расходов проекта бюджета по данному разделу характеризует увеличение расходов по сравнению с предшествующими годами на 8,0 тыс. рублей соответственно.</w:t>
      </w:r>
    </w:p>
    <w:p w:rsidR="00965EFE" w:rsidRDefault="00965EF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 году расходы направлены по подразделу 0503 «Благоустройство» в том числе:</w:t>
      </w:r>
    </w:p>
    <w:p w:rsidR="00965EFE" w:rsidRDefault="00965EF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уличное освещение – 2,0 тыс. рублей,</w:t>
      </w:r>
    </w:p>
    <w:p w:rsidR="00965EFE" w:rsidRDefault="00965EF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мероприятия по благоустройству – 6,0 тыс. рублей.</w:t>
      </w:r>
    </w:p>
    <w:p w:rsidR="00965EFE" w:rsidRDefault="00965EFE" w:rsidP="00F66A8C">
      <w:pPr>
        <w:pStyle w:val="0020"/>
        <w:rPr>
          <w:rFonts w:ascii="Times New Roman" w:hAnsi="Times New Roman" w:cs="Times New Roman"/>
          <w:b/>
          <w:bCs/>
        </w:rPr>
      </w:pPr>
    </w:p>
    <w:p w:rsidR="00965EFE" w:rsidRDefault="00965EFE" w:rsidP="00F66A8C">
      <w:pPr>
        <w:pStyle w:val="0020"/>
        <w:rPr>
          <w:rFonts w:ascii="Times New Roman" w:hAnsi="Times New Roman" w:cs="Times New Roman"/>
          <w:b/>
          <w:bCs/>
        </w:rPr>
      </w:pPr>
    </w:p>
    <w:p w:rsidR="00965EFE" w:rsidRDefault="00965EFE" w:rsidP="00F66A8C">
      <w:pPr>
        <w:pStyle w:val="0020"/>
        <w:rPr>
          <w:rFonts w:ascii="Times New Roman" w:hAnsi="Times New Roman" w:cs="Times New Roman"/>
          <w:b/>
          <w:bCs/>
        </w:rPr>
      </w:pPr>
    </w:p>
    <w:p w:rsidR="00965EFE" w:rsidRDefault="00965EFE" w:rsidP="00F66A8C">
      <w:pPr>
        <w:pStyle w:val="00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Выводы</w:t>
      </w:r>
    </w:p>
    <w:p w:rsidR="00965EFE" w:rsidRDefault="00965EFE" w:rsidP="00924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Шаровичского сельского Совета народных депутатов «О бюджете муниципального образования «Шаровичское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Шаровичской сельской администрацией на рассмотрение в Шаровичский сельский Совет народных депутатов  до 1 декабря 2016 года.</w:t>
      </w: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и материалы, предоставляемые одновременно с проектом бюджета соответствуют статье 184.2 Бюджетного кодекса РФ.</w:t>
      </w:r>
    </w:p>
    <w:p w:rsidR="00965EFE" w:rsidRPr="00542286" w:rsidRDefault="00965EFE" w:rsidP="004B2515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«Шарович</w:t>
      </w:r>
      <w:r w:rsidRPr="00542286">
        <w:rPr>
          <w:rFonts w:ascii="Times New Roman" w:hAnsi="Times New Roman" w:cs="Times New Roman"/>
        </w:rPr>
        <w:t>ское сельское поселение» на 20</w:t>
      </w:r>
      <w:r>
        <w:rPr>
          <w:rFonts w:ascii="Times New Roman" w:hAnsi="Times New Roman" w:cs="Times New Roman"/>
        </w:rPr>
        <w:t>17 год прогнозируется в сумме  821,3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251,0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 или 30,6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251,0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100,0 процентов.</w:t>
      </w:r>
    </w:p>
    <w:p w:rsidR="00965EFE" w:rsidRPr="00542286" w:rsidRDefault="00965EFE" w:rsidP="004B2515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«Шарович</w:t>
      </w:r>
      <w:r w:rsidRPr="00542286">
        <w:rPr>
          <w:rFonts w:ascii="Times New Roman" w:hAnsi="Times New Roman" w:cs="Times New Roman"/>
        </w:rPr>
        <w:t>ское сельское поселение» за 2016 год</w:t>
      </w:r>
      <w:r>
        <w:rPr>
          <w:rFonts w:ascii="Times New Roman" w:hAnsi="Times New Roman" w:cs="Times New Roman"/>
        </w:rPr>
        <w:t>,</w:t>
      </w:r>
      <w:r w:rsidRPr="00542286">
        <w:rPr>
          <w:rFonts w:ascii="Times New Roman" w:hAnsi="Times New Roman" w:cs="Times New Roman"/>
        </w:rPr>
        <w:t xml:space="preserve"> прогнозируемые доходы бюджета в 2017 году уменьшатся на </w:t>
      </w:r>
      <w:r>
        <w:rPr>
          <w:rFonts w:ascii="Times New Roman" w:hAnsi="Times New Roman" w:cs="Times New Roman"/>
        </w:rPr>
        <w:t>81,8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>24,6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965EFE" w:rsidRDefault="00965EFE" w:rsidP="004B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570,3 тыс. рублей. Понижение к ожидаемой оценке 2016 года составляет  4,6 тыс. рублей, или 0,8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965EFE" w:rsidRDefault="00965EFE" w:rsidP="004B25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69,4 процента, что на 6,1 процентных пункта выше уровня оценки 2016 года.</w:t>
      </w:r>
    </w:p>
    <w:p w:rsidR="00965EFE" w:rsidRDefault="00965EFE" w:rsidP="004B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-  96,2 процента:</w:t>
      </w:r>
    </w:p>
    <w:p w:rsidR="00965EFE" w:rsidRDefault="00965EFE" w:rsidP="00237A94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Шаровичского сельского Совета народных депутатов «О бюджете муниципального образования «Шаровичское сельское поселение» на 2017 год составляет -  821,3 тыс. рублей.</w:t>
      </w:r>
    </w:p>
    <w:p w:rsidR="00965EFE" w:rsidRDefault="00965EFE" w:rsidP="00237A94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23,4%, к уровню 2015 года на 19,5 процента. </w:t>
      </w:r>
    </w:p>
    <w:p w:rsidR="00965EFE" w:rsidRDefault="00965EFE" w:rsidP="00323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прогнозируется бездефицитный,  с объемом доходов и расходов в 2017 году в сумме  821,3 тыс. рублей. </w:t>
      </w: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FE" w:rsidRDefault="00965EFE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 Предложения</w:t>
      </w:r>
    </w:p>
    <w:p w:rsidR="00965EFE" w:rsidRDefault="00965EFE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</w:p>
    <w:p w:rsidR="00965EFE" w:rsidRDefault="00965EFE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рекомендован к рассмотрению на сессии Шаровичского сельского Совета народных депутатов.</w:t>
      </w:r>
    </w:p>
    <w:p w:rsidR="00965EFE" w:rsidRDefault="00965EFE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65EFE" w:rsidRDefault="00965EFE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965EFE" w:rsidRDefault="00965EFE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    В.П. Семкин</w:t>
      </w:r>
    </w:p>
    <w:p w:rsidR="00965EFE" w:rsidRDefault="00965EFE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заключением ознакомлены:</w:t>
      </w:r>
    </w:p>
    <w:p w:rsidR="00965EFE" w:rsidRDefault="00965EF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965EFE" w:rsidRDefault="00965EF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Шаровичской</w:t>
      </w:r>
    </w:p>
    <w:p w:rsidR="00965EFE" w:rsidRDefault="00965EFE" w:rsidP="005A04D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В.Н.  Милешин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5EFE" w:rsidRDefault="00965EF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   Л.В. Сибекина  </w:t>
      </w:r>
    </w:p>
    <w:p w:rsidR="00965EFE" w:rsidRDefault="00965EF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FE" w:rsidRDefault="00965EFE" w:rsidP="005A0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Один экземпляр заключения получен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EFE" w:rsidRDefault="00965EFE" w:rsidP="00F66A8C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5EFE" w:rsidRDefault="00965EFE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965EFE" w:rsidSect="00245B2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FE" w:rsidRDefault="00965EFE" w:rsidP="00245B27">
      <w:pPr>
        <w:spacing w:after="0" w:line="240" w:lineRule="auto"/>
      </w:pPr>
      <w:r>
        <w:separator/>
      </w:r>
    </w:p>
  </w:endnote>
  <w:endnote w:type="continuationSeparator" w:id="1">
    <w:p w:rsidR="00965EFE" w:rsidRDefault="00965EFE" w:rsidP="0024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FE" w:rsidRDefault="00965EFE" w:rsidP="00245B27">
      <w:pPr>
        <w:spacing w:after="0" w:line="240" w:lineRule="auto"/>
      </w:pPr>
      <w:r>
        <w:separator/>
      </w:r>
    </w:p>
  </w:footnote>
  <w:footnote w:type="continuationSeparator" w:id="1">
    <w:p w:rsidR="00965EFE" w:rsidRDefault="00965EFE" w:rsidP="0024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FE" w:rsidRDefault="00965EFE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965EFE" w:rsidRDefault="00965E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1D"/>
    <w:rsid w:val="000143D6"/>
    <w:rsid w:val="00050E67"/>
    <w:rsid w:val="00052B0D"/>
    <w:rsid w:val="00053F66"/>
    <w:rsid w:val="000579E8"/>
    <w:rsid w:val="000642D4"/>
    <w:rsid w:val="0007763F"/>
    <w:rsid w:val="0008484C"/>
    <w:rsid w:val="000A508C"/>
    <w:rsid w:val="000A7788"/>
    <w:rsid w:val="000B40C6"/>
    <w:rsid w:val="000B5906"/>
    <w:rsid w:val="000C0925"/>
    <w:rsid w:val="000C48E8"/>
    <w:rsid w:val="000E35E5"/>
    <w:rsid w:val="000F398E"/>
    <w:rsid w:val="000F52D2"/>
    <w:rsid w:val="00130851"/>
    <w:rsid w:val="00131974"/>
    <w:rsid w:val="00142204"/>
    <w:rsid w:val="00194083"/>
    <w:rsid w:val="001B7621"/>
    <w:rsid w:val="001B7F02"/>
    <w:rsid w:val="001D02B5"/>
    <w:rsid w:val="001E3ED6"/>
    <w:rsid w:val="001E71AD"/>
    <w:rsid w:val="00205BA7"/>
    <w:rsid w:val="002146EF"/>
    <w:rsid w:val="002220F3"/>
    <w:rsid w:val="00222B3D"/>
    <w:rsid w:val="00225341"/>
    <w:rsid w:val="00237A94"/>
    <w:rsid w:val="00245B27"/>
    <w:rsid w:val="00274B18"/>
    <w:rsid w:val="0027632A"/>
    <w:rsid w:val="002812AD"/>
    <w:rsid w:val="0028525E"/>
    <w:rsid w:val="002A2C2E"/>
    <w:rsid w:val="002A74CA"/>
    <w:rsid w:val="002C0186"/>
    <w:rsid w:val="002C50DA"/>
    <w:rsid w:val="00307C7E"/>
    <w:rsid w:val="00311108"/>
    <w:rsid w:val="00315830"/>
    <w:rsid w:val="0032310F"/>
    <w:rsid w:val="00326ED5"/>
    <w:rsid w:val="003308EA"/>
    <w:rsid w:val="003377D9"/>
    <w:rsid w:val="0036290A"/>
    <w:rsid w:val="00366DC4"/>
    <w:rsid w:val="00394AA8"/>
    <w:rsid w:val="003968A5"/>
    <w:rsid w:val="003A0664"/>
    <w:rsid w:val="003A0EC1"/>
    <w:rsid w:val="003A289C"/>
    <w:rsid w:val="003A298C"/>
    <w:rsid w:val="003C3249"/>
    <w:rsid w:val="003C4DA1"/>
    <w:rsid w:val="003C7828"/>
    <w:rsid w:val="003D4110"/>
    <w:rsid w:val="003E49C2"/>
    <w:rsid w:val="003E5473"/>
    <w:rsid w:val="003E5A03"/>
    <w:rsid w:val="003F104C"/>
    <w:rsid w:val="003F4252"/>
    <w:rsid w:val="003F6016"/>
    <w:rsid w:val="003F628D"/>
    <w:rsid w:val="00441395"/>
    <w:rsid w:val="00444E55"/>
    <w:rsid w:val="00456D7D"/>
    <w:rsid w:val="004640C9"/>
    <w:rsid w:val="00467144"/>
    <w:rsid w:val="00475C1A"/>
    <w:rsid w:val="004772E8"/>
    <w:rsid w:val="00485EA9"/>
    <w:rsid w:val="00490E19"/>
    <w:rsid w:val="00495172"/>
    <w:rsid w:val="004A0E8C"/>
    <w:rsid w:val="004B2515"/>
    <w:rsid w:val="004B3118"/>
    <w:rsid w:val="004C2430"/>
    <w:rsid w:val="004C3203"/>
    <w:rsid w:val="004D17BA"/>
    <w:rsid w:val="004D6B57"/>
    <w:rsid w:val="004F79F8"/>
    <w:rsid w:val="00506BFF"/>
    <w:rsid w:val="00542286"/>
    <w:rsid w:val="00542A3D"/>
    <w:rsid w:val="00543899"/>
    <w:rsid w:val="00547EA0"/>
    <w:rsid w:val="00590889"/>
    <w:rsid w:val="00590BBF"/>
    <w:rsid w:val="005A04D6"/>
    <w:rsid w:val="005A1BB6"/>
    <w:rsid w:val="005D05E9"/>
    <w:rsid w:val="005E2388"/>
    <w:rsid w:val="005E512D"/>
    <w:rsid w:val="005E7C82"/>
    <w:rsid w:val="005F76AC"/>
    <w:rsid w:val="006124A5"/>
    <w:rsid w:val="00625F46"/>
    <w:rsid w:val="00637F03"/>
    <w:rsid w:val="006467C4"/>
    <w:rsid w:val="00684884"/>
    <w:rsid w:val="00686925"/>
    <w:rsid w:val="006B1230"/>
    <w:rsid w:val="006B7608"/>
    <w:rsid w:val="007454AC"/>
    <w:rsid w:val="00752EA8"/>
    <w:rsid w:val="007560A1"/>
    <w:rsid w:val="00764C77"/>
    <w:rsid w:val="0078368C"/>
    <w:rsid w:val="00783A37"/>
    <w:rsid w:val="0079537E"/>
    <w:rsid w:val="007A5453"/>
    <w:rsid w:val="007A54B0"/>
    <w:rsid w:val="007C59B1"/>
    <w:rsid w:val="007C7EC2"/>
    <w:rsid w:val="007E41A4"/>
    <w:rsid w:val="007F41B0"/>
    <w:rsid w:val="0080286B"/>
    <w:rsid w:val="0080292C"/>
    <w:rsid w:val="00810925"/>
    <w:rsid w:val="00823736"/>
    <w:rsid w:val="00845A95"/>
    <w:rsid w:val="00851B76"/>
    <w:rsid w:val="0086469D"/>
    <w:rsid w:val="0088303A"/>
    <w:rsid w:val="008B1B58"/>
    <w:rsid w:val="008B40CC"/>
    <w:rsid w:val="008D6FAF"/>
    <w:rsid w:val="008E22D9"/>
    <w:rsid w:val="008E2BBA"/>
    <w:rsid w:val="008E390A"/>
    <w:rsid w:val="008F14FE"/>
    <w:rsid w:val="008F6089"/>
    <w:rsid w:val="00913914"/>
    <w:rsid w:val="009155FC"/>
    <w:rsid w:val="00924FE1"/>
    <w:rsid w:val="00937FDC"/>
    <w:rsid w:val="0094586B"/>
    <w:rsid w:val="00946DE9"/>
    <w:rsid w:val="009541E9"/>
    <w:rsid w:val="0095764D"/>
    <w:rsid w:val="00965EFE"/>
    <w:rsid w:val="0098375B"/>
    <w:rsid w:val="00985D19"/>
    <w:rsid w:val="00993579"/>
    <w:rsid w:val="0099758A"/>
    <w:rsid w:val="009A18B2"/>
    <w:rsid w:val="009A41D5"/>
    <w:rsid w:val="009A4318"/>
    <w:rsid w:val="009B4720"/>
    <w:rsid w:val="009C3BD0"/>
    <w:rsid w:val="00A010A8"/>
    <w:rsid w:val="00A038D8"/>
    <w:rsid w:val="00A10677"/>
    <w:rsid w:val="00A22408"/>
    <w:rsid w:val="00A3721E"/>
    <w:rsid w:val="00A40279"/>
    <w:rsid w:val="00A4242E"/>
    <w:rsid w:val="00A50877"/>
    <w:rsid w:val="00A918D0"/>
    <w:rsid w:val="00AA2FA1"/>
    <w:rsid w:val="00AC6378"/>
    <w:rsid w:val="00AE0C23"/>
    <w:rsid w:val="00AE3BDD"/>
    <w:rsid w:val="00AE688F"/>
    <w:rsid w:val="00AF09A1"/>
    <w:rsid w:val="00AF581D"/>
    <w:rsid w:val="00B03F1D"/>
    <w:rsid w:val="00B2296F"/>
    <w:rsid w:val="00B51093"/>
    <w:rsid w:val="00B52270"/>
    <w:rsid w:val="00B54937"/>
    <w:rsid w:val="00B571E2"/>
    <w:rsid w:val="00B63698"/>
    <w:rsid w:val="00B842AA"/>
    <w:rsid w:val="00B91C0E"/>
    <w:rsid w:val="00BA4F9B"/>
    <w:rsid w:val="00BB69DC"/>
    <w:rsid w:val="00BC13AF"/>
    <w:rsid w:val="00BC202E"/>
    <w:rsid w:val="00BE045F"/>
    <w:rsid w:val="00BE6916"/>
    <w:rsid w:val="00C14204"/>
    <w:rsid w:val="00C229CC"/>
    <w:rsid w:val="00C44E57"/>
    <w:rsid w:val="00C628AA"/>
    <w:rsid w:val="00C660AD"/>
    <w:rsid w:val="00C77AE8"/>
    <w:rsid w:val="00C96C44"/>
    <w:rsid w:val="00C96C7B"/>
    <w:rsid w:val="00CA3B05"/>
    <w:rsid w:val="00CA54ED"/>
    <w:rsid w:val="00CA70FE"/>
    <w:rsid w:val="00CC199A"/>
    <w:rsid w:val="00CC7788"/>
    <w:rsid w:val="00CE32A4"/>
    <w:rsid w:val="00CE71CA"/>
    <w:rsid w:val="00CF3049"/>
    <w:rsid w:val="00CF314B"/>
    <w:rsid w:val="00D04E81"/>
    <w:rsid w:val="00D12383"/>
    <w:rsid w:val="00D31D0C"/>
    <w:rsid w:val="00D377DF"/>
    <w:rsid w:val="00D42139"/>
    <w:rsid w:val="00D568C6"/>
    <w:rsid w:val="00D81D86"/>
    <w:rsid w:val="00DB7070"/>
    <w:rsid w:val="00DC5C0B"/>
    <w:rsid w:val="00DD2A48"/>
    <w:rsid w:val="00DD4789"/>
    <w:rsid w:val="00DE116D"/>
    <w:rsid w:val="00E10638"/>
    <w:rsid w:val="00E11AD9"/>
    <w:rsid w:val="00E146AC"/>
    <w:rsid w:val="00E265EC"/>
    <w:rsid w:val="00E54F28"/>
    <w:rsid w:val="00E714F9"/>
    <w:rsid w:val="00E80EE8"/>
    <w:rsid w:val="00E86164"/>
    <w:rsid w:val="00E9347F"/>
    <w:rsid w:val="00EA0438"/>
    <w:rsid w:val="00EA5852"/>
    <w:rsid w:val="00F00DE1"/>
    <w:rsid w:val="00F0298C"/>
    <w:rsid w:val="00F02A32"/>
    <w:rsid w:val="00F04A12"/>
    <w:rsid w:val="00F2769E"/>
    <w:rsid w:val="00F56859"/>
    <w:rsid w:val="00F56D85"/>
    <w:rsid w:val="00F616FD"/>
    <w:rsid w:val="00F66A8C"/>
    <w:rsid w:val="00F901A5"/>
    <w:rsid w:val="00F9079F"/>
    <w:rsid w:val="00FA5770"/>
    <w:rsid w:val="00FA79CA"/>
    <w:rsid w:val="00FB5763"/>
    <w:rsid w:val="00FC11AD"/>
    <w:rsid w:val="00FC1762"/>
    <w:rsid w:val="00FD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B03F1D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B03F1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311108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B03F1D"/>
    <w:rPr>
      <w:rFonts w:cs="Times New Roman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B03F1D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B03F1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311108"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B03F1D"/>
    <w:rPr>
      <w:rFonts w:cs="Times New Roman"/>
    </w:rPr>
  </w:style>
  <w:style w:type="paragraph" w:customStyle="1" w:styleId="rvps698610">
    <w:name w:val="rvps698610"/>
    <w:basedOn w:val="Normal"/>
    <w:uiPriority w:val="99"/>
    <w:rsid w:val="00B03F1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03F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B03F1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F66A8C"/>
    <w:rPr>
      <w:rFonts w:cs="Times New Roman"/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F66A8C"/>
    <w:pPr>
      <w:ind w:left="0" w:firstLine="709"/>
      <w:jc w:val="both"/>
    </w:pPr>
  </w:style>
  <w:style w:type="paragraph" w:styleId="NoSpacing">
    <w:name w:val="No Spacing"/>
    <w:uiPriority w:val="99"/>
    <w:qFormat/>
    <w:rsid w:val="00F66A8C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6A8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0021">
    <w:name w:val="002.1_Текст.Отступ Знак"/>
    <w:basedOn w:val="DefaultParagraphFont"/>
    <w:link w:val="00210"/>
    <w:uiPriority w:val="99"/>
    <w:locked/>
    <w:rsid w:val="007A54B0"/>
    <w:rPr>
      <w:rFonts w:cs="Times New Roman"/>
      <w:sz w:val="28"/>
      <w:szCs w:val="28"/>
    </w:rPr>
  </w:style>
  <w:style w:type="paragraph" w:customStyle="1" w:styleId="00210">
    <w:name w:val="002.1_Текст.Отступ"/>
    <w:basedOn w:val="Normal"/>
    <w:link w:val="0021"/>
    <w:uiPriority w:val="99"/>
    <w:rsid w:val="007A54B0"/>
    <w:pPr>
      <w:spacing w:before="120" w:after="0" w:line="240" w:lineRule="auto"/>
      <w:ind w:firstLine="709"/>
      <w:jc w:val="both"/>
    </w:pPr>
    <w:rPr>
      <w:sz w:val="28"/>
      <w:szCs w:val="28"/>
    </w:rPr>
  </w:style>
  <w:style w:type="paragraph" w:customStyle="1" w:styleId="a">
    <w:name w:val="Знак Знак Знак Знак Знак Знак Знак"/>
    <w:basedOn w:val="Normal"/>
    <w:uiPriority w:val="99"/>
    <w:rsid w:val="004951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B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5B27"/>
    <w:rPr>
      <w:rFonts w:cs="Times New Roman"/>
    </w:rPr>
  </w:style>
  <w:style w:type="paragraph" w:customStyle="1" w:styleId="2">
    <w:name w:val="Знак Знак Знак Знак Знак Знак Знак2"/>
    <w:basedOn w:val="Normal"/>
    <w:uiPriority w:val="99"/>
    <w:rsid w:val="005E23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Normal"/>
    <w:uiPriority w:val="99"/>
    <w:rsid w:val="00BB69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377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DA5023B5754B70FDDB0DFD43C106C2501425D68ACFE549339C39AD1BDD1D71EC6BEE906850EoA15H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971</TotalTime>
  <Pages>13</Pages>
  <Words>3315</Words>
  <Characters>18898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2015-12-04T08:09:00Z</cp:lastPrinted>
  <dcterms:created xsi:type="dcterms:W3CDTF">2015-10-28T04:46:00Z</dcterms:created>
  <dcterms:modified xsi:type="dcterms:W3CDTF">2016-12-19T10:28:00Z</dcterms:modified>
</cp:coreProperties>
</file>