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A46" w:rsidRDefault="00A91A46" w:rsidP="007278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A15049" w:rsidRPr="00727888" w:rsidRDefault="00A15049" w:rsidP="007278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727888">
        <w:rPr>
          <w:b/>
          <w:bCs/>
          <w:kern w:val="36"/>
          <w:sz w:val="28"/>
          <w:szCs w:val="28"/>
          <w:lang w:eastAsia="ru-RU"/>
        </w:rPr>
        <w:t>Число переводов пенсионных накоплений с потерей инвест</w:t>
      </w:r>
      <w:r w:rsidR="008B3971">
        <w:rPr>
          <w:b/>
          <w:bCs/>
          <w:kern w:val="36"/>
          <w:sz w:val="28"/>
          <w:szCs w:val="28"/>
          <w:lang w:eastAsia="ru-RU"/>
        </w:rPr>
        <w:t xml:space="preserve">иционного </w:t>
      </w:r>
      <w:r w:rsidRPr="00727888">
        <w:rPr>
          <w:b/>
          <w:bCs/>
          <w:kern w:val="36"/>
          <w:sz w:val="28"/>
          <w:szCs w:val="28"/>
          <w:lang w:eastAsia="ru-RU"/>
        </w:rPr>
        <w:t>дохода сократилось почти в шесть раз</w:t>
      </w:r>
    </w:p>
    <w:p w:rsidR="00A15049" w:rsidRPr="00A15049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В 2019 году Пенсионный фонд России принял 345 тыс. заявлений о переводе пенсионных накоплений в новый фонд или управляющую компанию. По сравнению с переходной кампанией 2018 года количество заявлений уменьшилось в 5,7 раза (с</w:t>
      </w:r>
      <w:r w:rsidR="00614DD4">
        <w:rPr>
          <w:sz w:val="28"/>
          <w:szCs w:val="28"/>
          <w:lang w:eastAsia="ru-RU"/>
        </w:rPr>
        <w:t xml:space="preserve"> </w:t>
      </w:r>
      <w:r w:rsidRPr="00A15049">
        <w:rPr>
          <w:sz w:val="28"/>
          <w:szCs w:val="28"/>
          <w:lang w:eastAsia="ru-RU"/>
        </w:rPr>
        <w:t>2 млн</w:t>
      </w:r>
      <w:r w:rsidR="00073D8A">
        <w:rPr>
          <w:sz w:val="28"/>
          <w:szCs w:val="28"/>
          <w:lang w:eastAsia="ru-RU"/>
        </w:rPr>
        <w:t>.</w:t>
      </w:r>
      <w:r w:rsidRPr="00A15049">
        <w:rPr>
          <w:sz w:val="28"/>
          <w:szCs w:val="28"/>
          <w:lang w:eastAsia="ru-RU"/>
        </w:rPr>
        <w:t>), на что</w:t>
      </w:r>
      <w:r w:rsidR="00614DD4">
        <w:rPr>
          <w:sz w:val="28"/>
          <w:szCs w:val="28"/>
          <w:lang w:eastAsia="ru-RU"/>
        </w:rPr>
        <w:t>,</w:t>
      </w:r>
      <w:r w:rsidRPr="00A15049">
        <w:rPr>
          <w:sz w:val="28"/>
          <w:szCs w:val="28"/>
          <w:lang w:eastAsia="ru-RU"/>
        </w:rPr>
        <w:t xml:space="preserve"> прежде всего</w:t>
      </w:r>
      <w:r w:rsidR="00614DD4">
        <w:rPr>
          <w:sz w:val="28"/>
          <w:szCs w:val="28"/>
          <w:lang w:eastAsia="ru-RU"/>
        </w:rPr>
        <w:t>,</w:t>
      </w:r>
      <w:r w:rsidRPr="00A15049">
        <w:rPr>
          <w:sz w:val="28"/>
          <w:szCs w:val="28"/>
          <w:lang w:eastAsia="ru-RU"/>
        </w:rPr>
        <w:t xml:space="preserve"> повлияли новые правила их подачи, а также информирование граждан о потерях при досрочном переводе средств. </w:t>
      </w:r>
      <w:r w:rsidRPr="00C748C3">
        <w:rPr>
          <w:sz w:val="28"/>
          <w:szCs w:val="28"/>
          <w:lang w:eastAsia="ru-RU"/>
        </w:rPr>
        <w:t>Аналогичная ситуация в прошедшем году сложилась и в наше</w:t>
      </w:r>
      <w:r w:rsidR="00112777">
        <w:rPr>
          <w:sz w:val="28"/>
          <w:szCs w:val="28"/>
          <w:lang w:eastAsia="ru-RU"/>
        </w:rPr>
        <w:t>м регионе</w:t>
      </w:r>
      <w:r w:rsidRPr="00C748C3">
        <w:rPr>
          <w:sz w:val="28"/>
          <w:szCs w:val="28"/>
          <w:lang w:eastAsia="ru-RU"/>
        </w:rPr>
        <w:t>: число граждан, сменивших управляющего средствами пенсионных накоплений, уменьшилось по сравнению с 2018 годом более чем  в 2 раза.</w:t>
      </w:r>
      <w:r w:rsidRPr="00A15049">
        <w:rPr>
          <w:b/>
          <w:sz w:val="28"/>
          <w:szCs w:val="28"/>
          <w:lang w:eastAsia="ru-RU"/>
        </w:rPr>
        <w:t xml:space="preserve"> </w:t>
      </w:r>
    </w:p>
    <w:p w:rsidR="00A15049" w:rsidRPr="00A15049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Согласно поступившим заявлениям больше всего участников переходной кампании – 183,3 тыс. человек, или 53,1%, – приняли решение о переходе из одного негосударственного пенсионного фонда в другой, 97,7 тыс. человек (28,3%) – о переводе пенсионных накоплений из ПФР в НПФ, 62,3 тыс. (18,1%) – о возвращении из НПФ в ПФР. Еще 1,7 тыс. человек (0,5%) решили сменить управляющую компанию, оставшись в ПФР.</w:t>
      </w:r>
    </w:p>
    <w:p w:rsidR="00A15049" w:rsidRPr="00A15049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В течение прошлого года впервые можно было отозвать направленное заявление о смене фонда. Такой возможностью воспользовались 12,7 тыс. человек. Еще 335 человек, которые в 2015 году подали заявление о срочном переводе средств через пять лет, скорректировали свой переход и заменили ранее выбранный фонд на другой.</w:t>
      </w:r>
    </w:p>
    <w:p w:rsidR="00A15049" w:rsidRPr="00A15049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Притом что доля заявлений о досрочном переводе средств, поступающих в новый фонд без инвест</w:t>
      </w:r>
      <w:r w:rsidR="00EA121D">
        <w:rPr>
          <w:sz w:val="28"/>
          <w:szCs w:val="28"/>
          <w:lang w:eastAsia="ru-RU"/>
        </w:rPr>
        <w:t xml:space="preserve">иционного </w:t>
      </w:r>
      <w:r w:rsidRPr="00A15049">
        <w:rPr>
          <w:sz w:val="28"/>
          <w:szCs w:val="28"/>
          <w:lang w:eastAsia="ru-RU"/>
        </w:rPr>
        <w:t>дохода, уменьшилась незначительно по сравнению с 2018 годом (с 98,5% до 95,8%), количество таких заявлений сократилось в 5,8 раз – с 1,9 млн до 330,5 тыс. Таким образом, потери граждан за 2019 год в результате досрочного перевода пенсионных накоплений станут наименьшими по сравнению с кампаниями предыдущих лет.</w:t>
      </w:r>
    </w:p>
    <w:p w:rsidR="00A15049" w:rsidRPr="00A15049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Абсолютное большинство досрочных переходов (84,3%), как и прежде, пришлось на переводы средств в негосударственные пенсионные фонды.</w:t>
      </w:r>
    </w:p>
    <w:p w:rsidR="00F53B31" w:rsidRPr="00727888" w:rsidRDefault="00A15049" w:rsidP="00727888">
      <w:pPr>
        <w:spacing w:before="100" w:beforeAutospacing="1" w:after="240"/>
        <w:jc w:val="both"/>
        <w:rPr>
          <w:sz w:val="28"/>
          <w:szCs w:val="28"/>
          <w:lang w:eastAsia="ru-RU"/>
        </w:rPr>
      </w:pPr>
      <w:r w:rsidRPr="00A15049">
        <w:rPr>
          <w:sz w:val="28"/>
          <w:szCs w:val="28"/>
          <w:lang w:eastAsia="ru-RU"/>
        </w:rPr>
        <w:t>Окончательные итоги переходной кампании будут подведены до 1 марта. Помимо заявлений 2019 года к рассмотрению также будут приняты заявления 2015 года, по которым подошел пятилетний срок, обеспечивающий перевод средств с учетом инвестиционного дохода.</w:t>
      </w:r>
    </w:p>
    <w:sectPr w:rsidR="00F53B31" w:rsidRPr="00727888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DC" w:rsidRDefault="00D917DC">
      <w:r>
        <w:separator/>
      </w:r>
    </w:p>
  </w:endnote>
  <w:endnote w:type="continuationSeparator" w:id="0">
    <w:p w:rsidR="00D917DC" w:rsidRDefault="00D9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DC" w:rsidRDefault="00D917DC">
      <w:r>
        <w:separator/>
      </w:r>
    </w:p>
  </w:footnote>
  <w:footnote w:type="continuationSeparator" w:id="0">
    <w:p w:rsidR="00D917DC" w:rsidRDefault="00D9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B5C3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D8A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5C39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2777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AC4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4EF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4DD4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3AA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27888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0A7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3971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5049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1A46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4AE4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8C3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7DC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1D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C734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F869-5517-4F3A-9F36-1F05ECF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2020-02-05T11:51:00Z</dcterms:created>
  <dcterms:modified xsi:type="dcterms:W3CDTF">2020-02-05T11:51:00Z</dcterms:modified>
</cp:coreProperties>
</file>