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772366">
      <w:pPr>
        <w:pStyle w:val="Default"/>
        <w:jc w:val="center"/>
        <w:rPr>
          <w:b/>
          <w:bCs/>
          <w:sz w:val="40"/>
          <w:szCs w:val="40"/>
        </w:rPr>
      </w:pPr>
      <w:r w:rsidRPr="000406E9">
        <w:rPr>
          <w:b/>
          <w:bCs/>
          <w:sz w:val="40"/>
          <w:szCs w:val="40"/>
        </w:rPr>
        <w:t>БЮДЖЕТ ДЛЯ ГРАЖДАН</w:t>
      </w:r>
    </w:p>
    <w:p w:rsidR="005505E0" w:rsidRDefault="005505E0" w:rsidP="00772366">
      <w:pPr>
        <w:pStyle w:val="Default"/>
        <w:jc w:val="center"/>
      </w:pPr>
    </w:p>
    <w:p w:rsidR="005505E0" w:rsidRPr="00C904EC" w:rsidRDefault="005505E0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(на основе Решения Рогнединского районного Совета народных депутатов «Об исполнении бюджета Рогнединского  муниципального района за 2017 год»)</w:t>
      </w:r>
    </w:p>
    <w:p w:rsidR="005505E0" w:rsidRDefault="005505E0"/>
    <w:p w:rsidR="005505E0" w:rsidRDefault="005505E0"/>
    <w:p w:rsidR="005505E0" w:rsidRDefault="005505E0"/>
    <w:p w:rsidR="005505E0" w:rsidRDefault="005505E0">
      <w:bookmarkStart w:id="0" w:name="_GoBack"/>
      <w:bookmarkEnd w:id="0"/>
    </w:p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5505E0" w:rsidRPr="00181DDB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доходам за 2017 год.</w:t>
      </w:r>
    </w:p>
    <w:p w:rsidR="005505E0" w:rsidRDefault="005505E0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2.1.Сведения об исполнении районного бюджета за 2016 год по доходам в разрезе видов доходов.</w:t>
      </w:r>
    </w:p>
    <w:p w:rsidR="005505E0" w:rsidRPr="00181DDB" w:rsidRDefault="005505E0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расходам за 2017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Сведения об исполнении районного бюджета за 2017 год по разделам и подразделам классификации расходов бюджета.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Межбюджетные трансферты из районного бюджета за 2017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3.3.Сведения об исполнении публичных нормативных обязательств за 2017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Источники финансирования дефицита районного бюджета за 2017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Исполнение муниципальных программ за 2017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Pr="000C25C2" w:rsidRDefault="005505E0" w:rsidP="000C25C2">
      <w:pPr>
        <w:pStyle w:val="ListParagraph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t>Введение</w:t>
      </w:r>
    </w:p>
    <w:p w:rsidR="005505E0" w:rsidRPr="000C25C2" w:rsidRDefault="005505E0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>
        <w:rPr>
          <w:rFonts w:ascii="Times New Roman" w:hAnsi="Times New Roman"/>
          <w:sz w:val="28"/>
          <w:szCs w:val="28"/>
        </w:rPr>
        <w:t>Решения Рогнединского районного Совета народных депутатов о районном бюджете</w:t>
      </w:r>
      <w:r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5505E0" w:rsidRDefault="005505E0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из:</w:t>
      </w:r>
    </w:p>
    <w:p w:rsidR="005505E0" w:rsidRDefault="005505E0" w:rsidP="009C6AE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5505E0" w:rsidRDefault="005505E0" w:rsidP="009C6AE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5505E0" w:rsidRDefault="005505E0" w:rsidP="009C6AE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за исполнением бюджета и бюджетный учет;</w:t>
      </w:r>
    </w:p>
    <w:p w:rsidR="005505E0" w:rsidRDefault="005505E0" w:rsidP="009C6AE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5505E0" w:rsidRDefault="005505E0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иных обязательных поступлений, поступления из бюджетов других уровней,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районного бюджета организуется финансовым отделом  администрации Рогнединского района на основе сводной бюджетной росписи и кассового плана.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отделом на основании Решения о районном бюджете 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контракты и иные договора и расходовать бюджетные средства (на выплату заработной платы, оплату командировочных расходов, на оплату коммунальных, транспортных и прочих услуг, на приобретение материальных ресурсов и другие расходы).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Составляет отчет об исполнении районного бюджета Финансовый отдел администрации Рогнединского района.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Рогнединском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Рогнединского района и по результатам внешней проверки Контрольно-счетная палата Рогнединского района готовит заключение на годовой отчет об исполнении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районного бюджета за отчетный финансовый год представляется администрацией Рогнединского района на рассмотрение в Рогнединский районный Совет народных депутатов не позднее 1 мая текущего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районного бюджета утверждается Решением Рогнединского районного Совета народных депутатов об исполнении  бюджета Рогнединского муниципального района с указанием общего объема доходов, расходов и дефицита (профицита)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проектом годового отчета об исполнении районного бюджета за 2017 год можно ознакомиться на официальном сайте  Рогнединского района.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</w:p>
    <w:p w:rsidR="005505E0" w:rsidRDefault="005505E0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характеристики исполнения районного бюджета за 2017 год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6"/>
        <w:gridCol w:w="2247"/>
        <w:gridCol w:w="1700"/>
        <w:gridCol w:w="1623"/>
      </w:tblGrid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130274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131002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100,5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131436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127878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97,3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- 1</w:t>
            </w:r>
            <w:r>
              <w:rPr>
                <w:color w:val="auto"/>
                <w:sz w:val="28"/>
                <w:szCs w:val="28"/>
              </w:rPr>
              <w:t>162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Профицит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+3124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1162</w:t>
            </w:r>
          </w:p>
        </w:tc>
        <w:tc>
          <w:tcPr>
            <w:tcW w:w="1700" w:type="dxa"/>
          </w:tcPr>
          <w:p w:rsidR="005505E0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5505E0" w:rsidRDefault="005505E0" w:rsidP="00025FCF">
      <w:pPr>
        <w:pStyle w:val="Default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2016 году исполнение районного бюджета осуществлялось в соответствии с основными направлениями бюджетной политики на 2016 год: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r>
        <w:rPr>
          <w:rFonts w:ascii="Times New Roman" w:hAnsi="Times New Roman"/>
          <w:sz w:val="28"/>
          <w:szCs w:val="28"/>
        </w:rPr>
        <w:t>Рогнединского</w:t>
      </w:r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5505E0" w:rsidRPr="00260305" w:rsidRDefault="005505E0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безусловное исполнение принятых социальных обязательств перед гражданами;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совершенствование нормативного правового регулирования и методологии управления общественными финансами;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совершенствование механизма финансового обеспечения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5505E0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5505E0" w:rsidRDefault="005505E0" w:rsidP="007B0F34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25FCF" w:rsidRDefault="005505E0" w:rsidP="00025FCF">
      <w:pPr>
        <w:pStyle w:val="Default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25FCF">
        <w:rPr>
          <w:b/>
          <w:sz w:val="32"/>
          <w:szCs w:val="32"/>
        </w:rPr>
        <w:t>Исполнение районного бюджета по доходам за 201</w:t>
      </w:r>
      <w:r>
        <w:rPr>
          <w:b/>
          <w:sz w:val="32"/>
          <w:szCs w:val="32"/>
        </w:rPr>
        <w:t>7</w:t>
      </w:r>
      <w:r w:rsidRPr="00025FCF">
        <w:rPr>
          <w:b/>
          <w:sz w:val="32"/>
          <w:szCs w:val="32"/>
        </w:rPr>
        <w:t xml:space="preserve"> год</w:t>
      </w:r>
    </w:p>
    <w:p w:rsidR="005505E0" w:rsidRPr="00025FCF" w:rsidRDefault="005505E0" w:rsidP="00025FCF">
      <w:pPr>
        <w:pStyle w:val="Default"/>
        <w:jc w:val="center"/>
        <w:rPr>
          <w:b/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Доходы бюджета </w:t>
      </w:r>
      <w:r>
        <w:rPr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по доходам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2017 год в сравнении с 2016 годом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3"/>
        <w:gridCol w:w="1671"/>
        <w:gridCol w:w="1371"/>
        <w:gridCol w:w="1671"/>
        <w:gridCol w:w="1623"/>
        <w:gridCol w:w="1266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>
              <w:rPr>
                <w:sz w:val="28"/>
                <w:szCs w:val="28"/>
              </w:rPr>
              <w:t>6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Доходы-всего</w:t>
            </w:r>
          </w:p>
        </w:tc>
        <w:tc>
          <w:tcPr>
            <w:tcW w:w="1671" w:type="dxa"/>
          </w:tcPr>
          <w:p w:rsidR="005505E0" w:rsidRPr="00D56DE7" w:rsidRDefault="005505E0" w:rsidP="00A839D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131002</w:t>
            </w: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148716,9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148621,8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26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38603</w:t>
            </w: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42865,0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42993,6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26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111,4</w:t>
            </w: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92399</w:t>
            </w: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105851,9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105628,1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26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  <w:r w:rsidRPr="00F67302">
        <w:rPr>
          <w:b/>
          <w:i/>
          <w:sz w:val="28"/>
          <w:szCs w:val="28"/>
        </w:rPr>
        <w:t>2.1.Сведения об исполнении районного бюджета за 201</w:t>
      </w:r>
      <w:r>
        <w:rPr>
          <w:b/>
          <w:i/>
          <w:sz w:val="28"/>
          <w:szCs w:val="28"/>
        </w:rPr>
        <w:t>7</w:t>
      </w:r>
      <w:r w:rsidRPr="00F67302">
        <w:rPr>
          <w:b/>
          <w:i/>
          <w:sz w:val="28"/>
          <w:szCs w:val="28"/>
        </w:rPr>
        <w:t xml:space="preserve"> год по доходам в разрезе видов доходов.</w:t>
      </w: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Pr="00F67302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34BAB" w:rsidRDefault="005505E0" w:rsidP="00F67302">
      <w:pPr>
        <w:pStyle w:val="Default"/>
        <w:jc w:val="center"/>
        <w:rPr>
          <w:sz w:val="28"/>
          <w:szCs w:val="28"/>
          <w:highlight w:val="yellow"/>
        </w:rPr>
      </w:pPr>
      <w:r w:rsidRPr="00034BAB">
        <w:rPr>
          <w:sz w:val="28"/>
          <w:szCs w:val="28"/>
          <w:highlight w:val="yellow"/>
        </w:rPr>
        <w:t>Исполнение районного бюджета за 2017 год по доходам</w:t>
      </w:r>
    </w:p>
    <w:p w:rsidR="005505E0" w:rsidRPr="00034BAB" w:rsidRDefault="005505E0" w:rsidP="00F67302">
      <w:pPr>
        <w:pStyle w:val="Default"/>
        <w:jc w:val="right"/>
        <w:rPr>
          <w:sz w:val="28"/>
          <w:szCs w:val="28"/>
          <w:highlight w:val="yellow"/>
        </w:rPr>
      </w:pPr>
      <w:r w:rsidRPr="00034BAB">
        <w:rPr>
          <w:sz w:val="28"/>
          <w:szCs w:val="28"/>
          <w:highlight w:val="yellow"/>
        </w:rPr>
        <w:t>(тыс.руб.)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1418"/>
        <w:gridCol w:w="1417"/>
        <w:gridCol w:w="1276"/>
        <w:gridCol w:w="2410"/>
      </w:tblGrid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План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Исполне-ние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Процент исполне-ния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Причина отклонения от плана</w:t>
            </w:r>
          </w:p>
        </w:tc>
      </w:tr>
      <w:tr w:rsidR="005505E0" w:rsidRPr="00034BAB" w:rsidTr="00D56DE7">
        <w:tc>
          <w:tcPr>
            <w:tcW w:w="3403" w:type="dxa"/>
            <w:shd w:val="clear" w:color="auto" w:fill="A6A6A6"/>
          </w:tcPr>
          <w:p w:rsidR="005505E0" w:rsidRPr="00F563C2" w:rsidRDefault="005505E0" w:rsidP="00D56DE7">
            <w:pPr>
              <w:pStyle w:val="Default"/>
              <w:jc w:val="both"/>
              <w:rPr>
                <w:color w:val="auto"/>
              </w:rPr>
            </w:pPr>
            <w:r w:rsidRPr="00F563C2">
              <w:rPr>
                <w:color w:val="auto"/>
              </w:rPr>
              <w:t>Доходы – всего</w:t>
            </w:r>
          </w:p>
        </w:tc>
        <w:tc>
          <w:tcPr>
            <w:tcW w:w="1418" w:type="dxa"/>
            <w:shd w:val="clear" w:color="auto" w:fill="A6A6A6"/>
          </w:tcPr>
          <w:p w:rsidR="005505E0" w:rsidRPr="00F563C2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148716,9</w:t>
            </w:r>
          </w:p>
        </w:tc>
        <w:tc>
          <w:tcPr>
            <w:tcW w:w="1417" w:type="dxa"/>
            <w:shd w:val="clear" w:color="auto" w:fill="A6A6A6"/>
          </w:tcPr>
          <w:p w:rsidR="005505E0" w:rsidRPr="00F563C2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148621,8</w:t>
            </w:r>
          </w:p>
        </w:tc>
        <w:tc>
          <w:tcPr>
            <w:tcW w:w="1276" w:type="dxa"/>
            <w:shd w:val="clear" w:color="auto" w:fill="A6A6A6"/>
          </w:tcPr>
          <w:p w:rsidR="005505E0" w:rsidRPr="00F563C2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99,9</w:t>
            </w:r>
          </w:p>
        </w:tc>
        <w:tc>
          <w:tcPr>
            <w:tcW w:w="2410" w:type="dxa"/>
            <w:shd w:val="clear" w:color="auto" w:fill="A6A6A6"/>
          </w:tcPr>
          <w:p w:rsidR="005505E0" w:rsidRPr="00034BAB" w:rsidRDefault="005505E0" w:rsidP="00D56DE7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  <w:shd w:val="clear" w:color="auto" w:fill="C2D69B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C2D69B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37677</w:t>
            </w:r>
          </w:p>
        </w:tc>
        <w:tc>
          <w:tcPr>
            <w:tcW w:w="1417" w:type="dxa"/>
            <w:shd w:val="clear" w:color="auto" w:fill="C2D69B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38603</w:t>
            </w:r>
          </w:p>
        </w:tc>
        <w:tc>
          <w:tcPr>
            <w:tcW w:w="1276" w:type="dxa"/>
            <w:shd w:val="clear" w:color="auto" w:fill="C2D69B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102,4</w:t>
            </w:r>
          </w:p>
        </w:tc>
        <w:tc>
          <w:tcPr>
            <w:tcW w:w="2410" w:type="dxa"/>
            <w:shd w:val="clear" w:color="auto" w:fill="C2D69B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Налоговые доходы</w:t>
            </w:r>
          </w:p>
        </w:tc>
        <w:tc>
          <w:tcPr>
            <w:tcW w:w="1418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33313</w:t>
            </w:r>
          </w:p>
        </w:tc>
        <w:tc>
          <w:tcPr>
            <w:tcW w:w="1417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34673</w:t>
            </w:r>
          </w:p>
        </w:tc>
        <w:tc>
          <w:tcPr>
            <w:tcW w:w="1276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104,1</w:t>
            </w:r>
          </w:p>
        </w:tc>
        <w:tc>
          <w:tcPr>
            <w:tcW w:w="2410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26226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26482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101,0</w:t>
            </w:r>
          </w:p>
        </w:tc>
        <w:tc>
          <w:tcPr>
            <w:tcW w:w="2410" w:type="dxa"/>
          </w:tcPr>
          <w:p w:rsidR="005505E0" w:rsidRPr="00034BAB" w:rsidRDefault="005505E0" w:rsidP="00A60311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увеличение поступлений НДФЛ по производственной отрасли, поступление НДФЛ в полном объеме при получении досрочной заработной платы организациями и предприятиями района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4730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5227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110,5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уплата задолженности по акцизам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Налоги на совокупный доход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2357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2364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100,3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увеличение поступлений    от налогоплательщиков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единый налог на вмененный доход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13 834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13 919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100,6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 xml:space="preserve">единый сельскохозяйственный налог    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268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316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117,9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150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150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Государственная пошлина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298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300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100,7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увеличение количества обращений для совершения юридически значимых действий</w:t>
            </w:r>
          </w:p>
        </w:tc>
      </w:tr>
      <w:tr w:rsidR="005505E0" w:rsidRPr="00034BAB" w:rsidTr="00D56DE7">
        <w:tc>
          <w:tcPr>
            <w:tcW w:w="3403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Неналоговые доходы</w:t>
            </w:r>
          </w:p>
        </w:tc>
        <w:tc>
          <w:tcPr>
            <w:tcW w:w="1418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4364</w:t>
            </w:r>
          </w:p>
        </w:tc>
        <w:tc>
          <w:tcPr>
            <w:tcW w:w="1417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3930</w:t>
            </w:r>
          </w:p>
        </w:tc>
        <w:tc>
          <w:tcPr>
            <w:tcW w:w="1276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90,1</w:t>
            </w:r>
          </w:p>
        </w:tc>
        <w:tc>
          <w:tcPr>
            <w:tcW w:w="2410" w:type="dxa"/>
            <w:shd w:val="clear" w:color="auto" w:fill="C6D9F1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2220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2246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101,2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повышение стоимости аренды имущества после проведения аукционов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294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316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107,1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 и погашение задолженности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 xml:space="preserve">        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252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254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100,8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 и погашение задолженности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Платежи при пользовании природными ресурсами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106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106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385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440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114,3</w:t>
            </w:r>
          </w:p>
        </w:tc>
        <w:tc>
          <w:tcPr>
            <w:tcW w:w="2410" w:type="dxa"/>
          </w:tcPr>
          <w:p w:rsidR="005505E0" w:rsidRPr="00034BAB" w:rsidRDefault="005505E0" w:rsidP="00133277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 и погашение задолженности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1060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1132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106,8</w:t>
            </w:r>
          </w:p>
        </w:tc>
        <w:tc>
          <w:tcPr>
            <w:tcW w:w="2410" w:type="dxa"/>
          </w:tcPr>
          <w:p w:rsidR="005505E0" w:rsidRPr="00034BAB" w:rsidRDefault="005505E0" w:rsidP="00EF0191">
            <w:pPr>
              <w:pStyle w:val="Default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 и погашение задолженности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 xml:space="preserve">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117,8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 и погашение задолженности</w:t>
            </w:r>
          </w:p>
        </w:tc>
      </w:tr>
      <w:tr w:rsidR="005505E0" w:rsidRPr="00034BAB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 xml:space="preserve">      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2122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2122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2410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Уплата налога в полном объеме</w:t>
            </w:r>
          </w:p>
        </w:tc>
      </w:tr>
      <w:tr w:rsidR="005505E0" w:rsidTr="00D56DE7">
        <w:tc>
          <w:tcPr>
            <w:tcW w:w="3403" w:type="dxa"/>
          </w:tcPr>
          <w:p w:rsidR="005505E0" w:rsidRPr="00034BAB" w:rsidRDefault="005505E0" w:rsidP="00D56DE7">
            <w:pPr>
              <w:pStyle w:val="Default"/>
              <w:jc w:val="both"/>
              <w:rPr>
                <w:highlight w:val="yellow"/>
              </w:rPr>
            </w:pPr>
            <w:r w:rsidRPr="00034BAB">
              <w:rPr>
                <w:highlight w:val="yellow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294</w:t>
            </w:r>
          </w:p>
        </w:tc>
        <w:tc>
          <w:tcPr>
            <w:tcW w:w="1417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306</w:t>
            </w:r>
          </w:p>
        </w:tc>
        <w:tc>
          <w:tcPr>
            <w:tcW w:w="1276" w:type="dxa"/>
          </w:tcPr>
          <w:p w:rsidR="005505E0" w:rsidRPr="00034BAB" w:rsidRDefault="005505E0" w:rsidP="00D56DE7">
            <w:pPr>
              <w:pStyle w:val="Default"/>
              <w:jc w:val="right"/>
              <w:rPr>
                <w:sz w:val="28"/>
                <w:szCs w:val="28"/>
                <w:highlight w:val="yellow"/>
              </w:rPr>
            </w:pPr>
            <w:r w:rsidRPr="00034BAB">
              <w:rPr>
                <w:sz w:val="28"/>
                <w:szCs w:val="28"/>
                <w:highlight w:val="yellow"/>
              </w:rPr>
              <w:t>104,1</w:t>
            </w:r>
          </w:p>
        </w:tc>
        <w:tc>
          <w:tcPr>
            <w:tcW w:w="2410" w:type="dxa"/>
          </w:tcPr>
          <w:p w:rsidR="005505E0" w:rsidRPr="00D56DE7" w:rsidRDefault="005505E0" w:rsidP="00133277">
            <w:pPr>
              <w:pStyle w:val="Default"/>
            </w:pPr>
            <w:r w:rsidRPr="00034BAB">
              <w:rPr>
                <w:highlight w:val="yellow"/>
              </w:rPr>
              <w:t>Уплата штрафов с учетом задолженности в полном объеме</w:t>
            </w:r>
          </w:p>
        </w:tc>
      </w:tr>
      <w:tr w:rsidR="005505E0" w:rsidTr="00D56DE7">
        <w:tc>
          <w:tcPr>
            <w:tcW w:w="3403" w:type="dxa"/>
            <w:shd w:val="clear" w:color="auto" w:fill="C2D69B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Безвозмездные поступления</w:t>
            </w:r>
          </w:p>
        </w:tc>
        <w:tc>
          <w:tcPr>
            <w:tcW w:w="1418" w:type="dxa"/>
            <w:shd w:val="clear" w:color="auto" w:fill="C2D69B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105851,9</w:t>
            </w:r>
          </w:p>
        </w:tc>
        <w:tc>
          <w:tcPr>
            <w:tcW w:w="1417" w:type="dxa"/>
            <w:shd w:val="clear" w:color="auto" w:fill="C2D69B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105628,1</w:t>
            </w:r>
          </w:p>
        </w:tc>
        <w:tc>
          <w:tcPr>
            <w:tcW w:w="1276" w:type="dxa"/>
            <w:shd w:val="clear" w:color="auto" w:fill="C2D69B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2410" w:type="dxa"/>
            <w:shd w:val="clear" w:color="auto" w:fill="C2D69B"/>
          </w:tcPr>
          <w:p w:rsidR="005505E0" w:rsidRPr="00D56DE7" w:rsidRDefault="005505E0" w:rsidP="00D56DE7">
            <w:pPr>
              <w:pStyle w:val="Default"/>
              <w:jc w:val="both"/>
            </w:pPr>
          </w:p>
        </w:tc>
      </w:tr>
      <w:tr w:rsidR="005505E0" w:rsidTr="00D56DE7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Дотации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22953,5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22953,5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5505E0" w:rsidRPr="00D56DE7" w:rsidRDefault="005505E0" w:rsidP="00D56DE7">
            <w:pPr>
              <w:pStyle w:val="Default"/>
              <w:jc w:val="both"/>
            </w:pPr>
          </w:p>
        </w:tc>
      </w:tr>
      <w:tr w:rsidR="005505E0" w:rsidTr="00D56DE7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Субсидии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12378,3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12378,3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5505E0" w:rsidRPr="00D56DE7" w:rsidRDefault="005505E0" w:rsidP="00133277">
            <w:pPr>
              <w:pStyle w:val="Default"/>
            </w:pPr>
          </w:p>
        </w:tc>
      </w:tr>
      <w:tr w:rsidR="005505E0" w:rsidTr="00D56DE7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Субвенции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62977,8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62934,2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2410" w:type="dxa"/>
          </w:tcPr>
          <w:p w:rsidR="005505E0" w:rsidRPr="00D56DE7" w:rsidRDefault="005505E0" w:rsidP="00EC0F07">
            <w:pPr>
              <w:pStyle w:val="Default"/>
            </w:pPr>
            <w:r w:rsidRPr="00D56DE7">
              <w:t>средства из областного бюджета перечислены не в полном объеме</w:t>
            </w:r>
          </w:p>
        </w:tc>
      </w:tr>
      <w:tr w:rsidR="005505E0" w:rsidTr="00D56DE7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Иные межбюджетные трансферты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7542,3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7542,3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5505E0" w:rsidRPr="00D56DE7" w:rsidRDefault="005505E0" w:rsidP="00133277">
            <w:pPr>
              <w:pStyle w:val="Default"/>
            </w:pP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В структуре доходов налоговые и неналоговые доходы занимают 28,9 процента (42993,6 тыс.руб.) безвозмездные поступления за 2017 год занимают 71,1 процента (105628,1 тыс.руб.) в общих доходах бюджета 148621,8 тыс.рублей. 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>
        <w:rPr>
          <w:sz w:val="28"/>
          <w:szCs w:val="28"/>
        </w:rPr>
        <w:t>59,6</w:t>
      </w:r>
      <w:r w:rsidRPr="00497B16">
        <w:rPr>
          <w:sz w:val="28"/>
          <w:szCs w:val="28"/>
        </w:rPr>
        <w:t>%, субсидии</w:t>
      </w:r>
      <w:r>
        <w:rPr>
          <w:sz w:val="28"/>
          <w:szCs w:val="28"/>
        </w:rPr>
        <w:t xml:space="preserve"> составляют 11,7%, дотации – 28,7</w:t>
      </w:r>
      <w:r w:rsidRPr="00497B16">
        <w:rPr>
          <w:sz w:val="28"/>
          <w:szCs w:val="28"/>
        </w:rPr>
        <w:t>%.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>Исполнение районного бюджета по расходам за 201</w:t>
      </w:r>
      <w:r>
        <w:rPr>
          <w:b/>
          <w:sz w:val="28"/>
          <w:szCs w:val="28"/>
        </w:rPr>
        <w:t>7</w:t>
      </w:r>
      <w:r w:rsidRPr="00497B16">
        <w:rPr>
          <w:b/>
          <w:sz w:val="28"/>
          <w:szCs w:val="28"/>
        </w:rPr>
        <w:t xml:space="preserve"> год</w:t>
      </w:r>
    </w:p>
    <w:p w:rsidR="005505E0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Pr="00497B16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505E0" w:rsidRDefault="005505E0" w:rsidP="00497B16">
      <w:pPr>
        <w:pStyle w:val="Default"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за 2017 год по расходам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671"/>
        <w:gridCol w:w="1292"/>
        <w:gridCol w:w="1701"/>
        <w:gridCol w:w="1672"/>
        <w:gridCol w:w="1730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>
              <w:rPr>
                <w:sz w:val="28"/>
                <w:szCs w:val="28"/>
              </w:rPr>
              <w:t>6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0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30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Расходы-всего</w:t>
            </w:r>
          </w:p>
        </w:tc>
        <w:tc>
          <w:tcPr>
            <w:tcW w:w="1671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127878</w:t>
            </w:r>
          </w:p>
        </w:tc>
        <w:tc>
          <w:tcPr>
            <w:tcW w:w="1292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152322,3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147616,6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730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средств районного бюджета</w:t>
            </w:r>
          </w:p>
        </w:tc>
        <w:tc>
          <w:tcPr>
            <w:tcW w:w="1671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35659</w:t>
            </w:r>
          </w:p>
        </w:tc>
        <w:tc>
          <w:tcPr>
            <w:tcW w:w="1292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46470,4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41988,5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  <w:tc>
          <w:tcPr>
            <w:tcW w:w="1730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безвозмездных поступлений из других бюджетов</w:t>
            </w:r>
          </w:p>
        </w:tc>
        <w:tc>
          <w:tcPr>
            <w:tcW w:w="1671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92219</w:t>
            </w:r>
          </w:p>
        </w:tc>
        <w:tc>
          <w:tcPr>
            <w:tcW w:w="1292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105851,9</w:t>
            </w:r>
          </w:p>
        </w:tc>
        <w:tc>
          <w:tcPr>
            <w:tcW w:w="1701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105628,1</w:t>
            </w:r>
          </w:p>
        </w:tc>
        <w:tc>
          <w:tcPr>
            <w:tcW w:w="1672" w:type="dxa"/>
          </w:tcPr>
          <w:p w:rsidR="005505E0" w:rsidRPr="00D56DE7" w:rsidRDefault="005505E0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730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</w:tbl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Pr="00130AB3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>3.1.Сведения об исполнении районного бюджета за 201</w:t>
      </w:r>
      <w:r>
        <w:rPr>
          <w:b/>
          <w:i/>
          <w:sz w:val="28"/>
          <w:szCs w:val="28"/>
        </w:rPr>
        <w:t>7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505E0" w:rsidRDefault="005505E0" w:rsidP="00130AB3">
      <w:pPr>
        <w:pStyle w:val="Default"/>
        <w:jc w:val="both"/>
        <w:rPr>
          <w:sz w:val="28"/>
          <w:szCs w:val="28"/>
        </w:rPr>
      </w:pPr>
    </w:p>
    <w:p w:rsidR="005505E0" w:rsidRDefault="005505E0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за 2017 год по расходам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418"/>
        <w:gridCol w:w="1417"/>
        <w:gridCol w:w="1559"/>
        <w:gridCol w:w="2552"/>
      </w:tblGrid>
      <w:tr w:rsidR="005505E0" w:rsidTr="00D56DE7">
        <w:tc>
          <w:tcPr>
            <w:tcW w:w="3544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Исполне-ние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исполне-ния</w:t>
            </w:r>
          </w:p>
        </w:tc>
        <w:tc>
          <w:tcPr>
            <w:tcW w:w="255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20433,1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19976,1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97,7</w:t>
            </w:r>
          </w:p>
          <w:p w:rsidR="005505E0" w:rsidRPr="00D56DE7" w:rsidRDefault="005505E0" w:rsidP="00BD3D2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342,9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342,8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1D1EE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исполнение в объеме фактической потребности 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14506,0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14048,2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96,8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исполнение в объеме фактической потребности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E433BA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3529,2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3527,2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исполнение в объеме фактической потребности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Другие общегосударственные вопросы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2054,9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2054,9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100,00</w:t>
            </w:r>
          </w:p>
        </w:tc>
        <w:tc>
          <w:tcPr>
            <w:tcW w:w="2552" w:type="dxa"/>
          </w:tcPr>
          <w:p w:rsidR="005505E0" w:rsidRPr="00D56DE7" w:rsidRDefault="005505E0" w:rsidP="00A839D7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исполнение в объеме фактической потребности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592,6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592,6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Мобилизационная и вневойсковая подготовка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592,6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592,6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1043,8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1039,0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99,5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1043,8</w:t>
            </w:r>
          </w:p>
        </w:tc>
        <w:tc>
          <w:tcPr>
            <w:tcW w:w="1417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1039,0</w:t>
            </w:r>
          </w:p>
        </w:tc>
        <w:tc>
          <w:tcPr>
            <w:tcW w:w="1559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99,5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отсутствие расходов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13243,9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9967,9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75,3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Общеэкономические вопросы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19,5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Сельское хозяйство и рыболовство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37,5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25,0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отсутствие расходов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Дорожное хозяйство (дорожные фонды)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12790,8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9527,3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74,5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ассигнования дорожного фонда использованы не в полном объёме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Водное хозяйство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64,8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64,8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Другие вопросы в области национальной экономики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331,3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331,3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4134,0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4134,0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Коммунальное хозяйство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4134,0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4134,0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1D1EE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114,6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114,6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Другие вопросы в области охраны окружающей среды</w:t>
            </w:r>
          </w:p>
        </w:tc>
        <w:tc>
          <w:tcPr>
            <w:tcW w:w="1418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114,6</w:t>
            </w:r>
          </w:p>
        </w:tc>
        <w:tc>
          <w:tcPr>
            <w:tcW w:w="1417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114,6</w:t>
            </w:r>
          </w:p>
        </w:tc>
        <w:tc>
          <w:tcPr>
            <w:tcW w:w="1559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70444,3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69644,1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Дошкольное образование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10221,9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9978,3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97,6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Общее образование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48216,9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47844,2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99,2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в связи с ограниченными ресурсами бюджета</w:t>
            </w:r>
          </w:p>
        </w:tc>
      </w:tr>
      <w:tr w:rsidR="005505E0" w:rsidTr="00D56DE7">
        <w:tc>
          <w:tcPr>
            <w:tcW w:w="3544" w:type="dxa"/>
          </w:tcPr>
          <w:p w:rsidR="005505E0" w:rsidRDefault="005505E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Дополнительное образование</w:t>
            </w:r>
          </w:p>
        </w:tc>
        <w:tc>
          <w:tcPr>
            <w:tcW w:w="1418" w:type="dxa"/>
          </w:tcPr>
          <w:p w:rsidR="005505E0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5479,5</w:t>
            </w:r>
          </w:p>
        </w:tc>
        <w:tc>
          <w:tcPr>
            <w:tcW w:w="1417" w:type="dxa"/>
          </w:tcPr>
          <w:p w:rsidR="005505E0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5300,2</w:t>
            </w:r>
          </w:p>
        </w:tc>
        <w:tc>
          <w:tcPr>
            <w:tcW w:w="1559" w:type="dxa"/>
          </w:tcPr>
          <w:p w:rsidR="005505E0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96,7</w:t>
            </w:r>
          </w:p>
        </w:tc>
        <w:tc>
          <w:tcPr>
            <w:tcW w:w="2552" w:type="dxa"/>
          </w:tcPr>
          <w:p w:rsidR="005505E0" w:rsidRPr="00D56DE7" w:rsidRDefault="005505E0" w:rsidP="00553556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29,7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29,7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553556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Молодежная политика и оздоровление детей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45,4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45,3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Другие вопросы в области образования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6450,8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6446,3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12025,5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11891,9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Культура</w:t>
            </w:r>
          </w:p>
        </w:tc>
        <w:tc>
          <w:tcPr>
            <w:tcW w:w="1418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12025,5</w:t>
            </w:r>
          </w:p>
        </w:tc>
        <w:tc>
          <w:tcPr>
            <w:tcW w:w="1417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11891,9</w:t>
            </w:r>
          </w:p>
        </w:tc>
        <w:tc>
          <w:tcPr>
            <w:tcW w:w="1559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в связи с ограниченными ресурсами бюджета 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22980,5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22949,5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Пенсионное обеспечение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1552,1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1552,1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Социальное обеспечение населения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2006,9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2003,9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Охрана семьи и детства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18469,6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18441,6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99,8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Другие вопросы в области социальной политики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951,9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951,9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Физическая культуры и спорт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Физическая культура</w:t>
            </w:r>
          </w:p>
        </w:tc>
        <w:tc>
          <w:tcPr>
            <w:tcW w:w="1418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</w:t>
            </w:r>
          </w:p>
        </w:tc>
        <w:tc>
          <w:tcPr>
            <w:tcW w:w="1559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41411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7260,0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7260,0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260,0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260,0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Иные дотации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7000,0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7000,0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RPr="00E25227" w:rsidTr="00D56DE7">
        <w:tc>
          <w:tcPr>
            <w:tcW w:w="3544" w:type="dxa"/>
          </w:tcPr>
          <w:p w:rsidR="005505E0" w:rsidRPr="005E2E02" w:rsidRDefault="005505E0" w:rsidP="00130AB3">
            <w:pPr>
              <w:pStyle w:val="Default"/>
              <w:rPr>
                <w:b/>
                <w:i/>
              </w:rPr>
            </w:pPr>
            <w:r w:rsidRPr="005E2E02">
              <w:rPr>
                <w:b/>
                <w:i/>
              </w:rPr>
              <w:t>ИТОГО РАСХОДОВ</w:t>
            </w:r>
          </w:p>
        </w:tc>
        <w:tc>
          <w:tcPr>
            <w:tcW w:w="1418" w:type="dxa"/>
          </w:tcPr>
          <w:p w:rsidR="005505E0" w:rsidRPr="005E2E02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5E2E02">
              <w:rPr>
                <w:b/>
                <w:sz w:val="28"/>
                <w:szCs w:val="28"/>
              </w:rPr>
              <w:t>152322,3</w:t>
            </w:r>
          </w:p>
        </w:tc>
        <w:tc>
          <w:tcPr>
            <w:tcW w:w="1417" w:type="dxa"/>
          </w:tcPr>
          <w:p w:rsidR="005505E0" w:rsidRPr="005E2E02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5E2E02">
              <w:rPr>
                <w:b/>
                <w:sz w:val="28"/>
                <w:szCs w:val="28"/>
              </w:rPr>
              <w:t>147616,6</w:t>
            </w:r>
          </w:p>
        </w:tc>
        <w:tc>
          <w:tcPr>
            <w:tcW w:w="1559" w:type="dxa"/>
          </w:tcPr>
          <w:p w:rsidR="005505E0" w:rsidRPr="005E2E02" w:rsidRDefault="005505E0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5E2E02">
              <w:rPr>
                <w:b/>
                <w:i/>
                <w:sz w:val="28"/>
                <w:szCs w:val="28"/>
              </w:rPr>
              <w:t>96,9</w:t>
            </w:r>
          </w:p>
        </w:tc>
        <w:tc>
          <w:tcPr>
            <w:tcW w:w="2552" w:type="dxa"/>
          </w:tcPr>
          <w:p w:rsidR="005505E0" w:rsidRPr="00E25227" w:rsidRDefault="005505E0" w:rsidP="00B6058F">
            <w:pPr>
              <w:pStyle w:val="Default"/>
              <w:rPr>
                <w:b/>
                <w:i/>
              </w:rPr>
            </w:pPr>
          </w:p>
        </w:tc>
      </w:tr>
    </w:tbl>
    <w:p w:rsidR="005505E0" w:rsidRPr="00E25227" w:rsidRDefault="005505E0" w:rsidP="00D95DBB">
      <w:pPr>
        <w:pStyle w:val="Default"/>
        <w:keepNext/>
        <w:jc w:val="both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2017 году сохраняется социальная направленность бюджета –                    104535,6 тыс. рублей или 70,8% составляют расходы на образование, культуру, социальную политику и физическую культуру и спорт.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77003B" w:rsidRDefault="005505E0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>3.2.Межбюджетные трансферты из районного бюджета за 201</w:t>
      </w:r>
      <w:r>
        <w:rPr>
          <w:b/>
          <w:i/>
          <w:sz w:val="28"/>
          <w:szCs w:val="28"/>
        </w:rPr>
        <w:t>7</w:t>
      </w:r>
      <w:r w:rsidRPr="0077003B">
        <w:rPr>
          <w:b/>
          <w:i/>
          <w:sz w:val="28"/>
          <w:szCs w:val="28"/>
        </w:rPr>
        <w:t xml:space="preserve"> год.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Pr="0077003B" w:rsidRDefault="005505E0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5505E0" w:rsidRDefault="005505E0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>в бюджеты других уровней за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(поселениям)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402"/>
        <w:gridCol w:w="2371"/>
      </w:tblGrid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Объем перечислений из районного бюджета (тыс.руб.)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Структура межбюджетных трансфертов (%)</w:t>
            </w:r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02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7260,0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в т.ч.дотации</w:t>
            </w:r>
          </w:p>
        </w:tc>
        <w:tc>
          <w:tcPr>
            <w:tcW w:w="3402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7260,0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 xml:space="preserve">3.3.Сведения об исполнении публичных нормативных обязательств </w:t>
      </w:r>
    </w:p>
    <w:p w:rsidR="005505E0" w:rsidRPr="000A0F6D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>за 201</w:t>
      </w:r>
      <w:r>
        <w:rPr>
          <w:b/>
          <w:i/>
          <w:sz w:val="28"/>
          <w:szCs w:val="28"/>
        </w:rPr>
        <w:t>7</w:t>
      </w:r>
      <w:r w:rsidRPr="000A0F6D">
        <w:rPr>
          <w:b/>
          <w:i/>
          <w:sz w:val="28"/>
          <w:szCs w:val="28"/>
        </w:rPr>
        <w:t xml:space="preserve"> год</w:t>
      </w:r>
    </w:p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за 2017 год.</w:t>
      </w: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276"/>
        <w:gridCol w:w="1134"/>
        <w:gridCol w:w="1417"/>
        <w:gridCol w:w="1701"/>
      </w:tblGrid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 обязательства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Исполне-</w:t>
            </w:r>
          </w:p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219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Публичные нормативные обязательства - всего</w:t>
            </w:r>
          </w:p>
        </w:tc>
        <w:tc>
          <w:tcPr>
            <w:tcW w:w="1276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134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6888,5</w:t>
            </w:r>
          </w:p>
        </w:tc>
        <w:tc>
          <w:tcPr>
            <w:tcW w:w="1417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6860,5</w:t>
            </w:r>
          </w:p>
        </w:tc>
        <w:tc>
          <w:tcPr>
            <w:tcW w:w="1701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99,6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Предоставление мер социальной поддержки работникам образовательных организаций,  работающим в сельских населенных пунктах и поселках городского типа на территории Брянской области (пенсионерам)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487,9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487,9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Единовременная выплата при всех формах устройства детей, лишенных родительского попечения в семью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272,3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244,3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Ежемесячная денежная выплата на содержание и проезд ребенка переданного на воспитание в приемную семью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6128,3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6128,3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</w:pPr>
    </w:p>
    <w:p w:rsidR="005505E0" w:rsidRPr="00770347" w:rsidRDefault="005505E0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t>4. Источники финансирования дефицита районного бюджета за 201</w:t>
      </w:r>
      <w:r>
        <w:rPr>
          <w:b/>
          <w:bCs/>
          <w:sz w:val="28"/>
          <w:szCs w:val="28"/>
        </w:rPr>
        <w:t>7</w:t>
      </w:r>
      <w:r w:rsidRPr="00770347">
        <w:rPr>
          <w:b/>
          <w:bCs/>
          <w:sz w:val="28"/>
          <w:szCs w:val="28"/>
        </w:rPr>
        <w:t xml:space="preserve"> год</w:t>
      </w:r>
    </w:p>
    <w:p w:rsidR="005505E0" w:rsidRDefault="005505E0" w:rsidP="00770347">
      <w:pPr>
        <w:pStyle w:val="Default"/>
        <w:rPr>
          <w:sz w:val="28"/>
          <w:szCs w:val="28"/>
        </w:rPr>
      </w:pP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Районный бюджет за 2017 год исполнен с превышением доходов над расходами, т.е. с профицитом в сумме 1005,1 тыс.рублей.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>Статьей 92.1 Бюджетного кодекса Российской Федерации установлено ограничение по предельному размеру дефицита местного бюджета - дефицит районного бюджета не должен превышать 5 процентов утвержденного общего годового объема доходов местного бюджета, без учета утвержденных 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в составе источников финансирования дефицита местного бюджета поступления от продажи акций и иных форм участия в капитале, находящихся в собственности муниципального образования, и (или) снижение остатков средств на счетах по учету средств местного бюджета дефицит местного бюджета может превысить ограничения в пределах суммы указанных поступлений и снижения остатков средств на счетах по учету средств местного бюджета.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  <w:keepNext/>
        <w:jc w:val="both"/>
        <w:rPr>
          <w:sz w:val="28"/>
          <w:szCs w:val="28"/>
        </w:rPr>
      </w:pPr>
    </w:p>
    <w:p w:rsidR="005505E0" w:rsidRPr="00585866" w:rsidRDefault="005505E0" w:rsidP="00F001D2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5866">
        <w:rPr>
          <w:b/>
          <w:sz w:val="28"/>
          <w:szCs w:val="28"/>
        </w:rPr>
        <w:t>Исполнение муниципальных программ за 201</w:t>
      </w:r>
      <w:r>
        <w:rPr>
          <w:b/>
          <w:sz w:val="28"/>
          <w:szCs w:val="28"/>
        </w:rPr>
        <w:t>7</w:t>
      </w:r>
      <w:r w:rsidRPr="00585866">
        <w:rPr>
          <w:b/>
          <w:sz w:val="28"/>
          <w:szCs w:val="28"/>
        </w:rPr>
        <w:t xml:space="preserve"> год.</w:t>
      </w:r>
    </w:p>
    <w:p w:rsidR="005505E0" w:rsidRDefault="005505E0" w:rsidP="0016642A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Рогнединского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5505E0" w:rsidRDefault="005505E0" w:rsidP="00585866">
      <w:pPr>
        <w:pStyle w:val="Default"/>
        <w:jc w:val="both"/>
        <w:rPr>
          <w:sz w:val="28"/>
          <w:szCs w:val="28"/>
        </w:rPr>
      </w:pPr>
    </w:p>
    <w:p w:rsidR="005505E0" w:rsidRDefault="005505E0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2017 году в Рогнединском районе осуществлялась реализация 3  муниципальных программ и 4 подпрограммы. Всего на реализацию мероприятий муниципальных программ направлено 146685,3 тыс. рублей, или 99,4 процента в общем объеме расходов бюджета. 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6030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расходов, направленных на реализацию муниципальных программ Рогнединского района за 2017 год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  <w:r w:rsidRPr="006030C5">
        <w:rPr>
          <w:sz w:val="28"/>
          <w:szCs w:val="28"/>
        </w:rPr>
        <w:t>(тыс. рублей)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1560"/>
        <w:gridCol w:w="1701"/>
        <w:gridCol w:w="1701"/>
      </w:tblGrid>
      <w:tr w:rsidR="005505E0" w:rsidTr="00D56DE7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5670" w:type="dxa"/>
            <w:shd w:val="clear" w:color="auto" w:fill="D6E3BC"/>
          </w:tcPr>
          <w:p w:rsidR="005505E0" w:rsidRPr="00D56DE7" w:rsidRDefault="005505E0" w:rsidP="00BB7A8E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муниципальным программам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152388,8</w:t>
            </w:r>
          </w:p>
        </w:tc>
        <w:tc>
          <w:tcPr>
            <w:tcW w:w="1701" w:type="dxa"/>
            <w:shd w:val="clear" w:color="auto" w:fill="D6E3BC"/>
          </w:tcPr>
          <w:p w:rsidR="005505E0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146685,3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97,3</w:t>
            </w:r>
          </w:p>
        </w:tc>
      </w:tr>
      <w:tr w:rsidR="005505E0" w:rsidTr="00D13456">
        <w:tc>
          <w:tcPr>
            <w:tcW w:w="5670" w:type="dxa"/>
            <w:shd w:val="clear" w:color="auto" w:fill="DBE5F1"/>
            <w:vAlign w:val="center"/>
          </w:tcPr>
          <w:p w:rsidR="005505E0" w:rsidRPr="00AC0B1B" w:rsidRDefault="005505E0" w:rsidP="005535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ПОЛНОМОЧИЙ ОРГАНА ИСПОЛНИТЕЛЬНОЙ ВЛАСТИ МЕСТНОГО САМОУПРАВЛЕНИЯ РОГНЕДИНСКОГО РАЙОНА (201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  <w:shd w:val="clear" w:color="auto" w:fill="DBE5F1"/>
          </w:tcPr>
          <w:p w:rsidR="005505E0" w:rsidRPr="00AC0B1B" w:rsidRDefault="005505E0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73842,8</w:t>
            </w:r>
          </w:p>
        </w:tc>
        <w:tc>
          <w:tcPr>
            <w:tcW w:w="1701" w:type="dxa"/>
            <w:shd w:val="clear" w:color="auto" w:fill="DBE5F1"/>
          </w:tcPr>
          <w:p w:rsidR="005505E0" w:rsidRPr="00AC0B1B" w:rsidRDefault="005505E0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69792,4</w:t>
            </w:r>
          </w:p>
        </w:tc>
        <w:tc>
          <w:tcPr>
            <w:tcW w:w="1701" w:type="dxa"/>
            <w:shd w:val="clear" w:color="auto" w:fill="DBE5F1"/>
          </w:tcPr>
          <w:p w:rsidR="005505E0" w:rsidRPr="00AC0B1B" w:rsidRDefault="005505E0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 w:rsidRPr="00AC0B1B">
              <w:rPr>
                <w:b/>
                <w:color w:val="auto"/>
                <w:sz w:val="28"/>
                <w:szCs w:val="28"/>
              </w:rPr>
              <w:t>93,9</w:t>
            </w:r>
          </w:p>
        </w:tc>
      </w:tr>
      <w:tr w:rsidR="005505E0" w:rsidTr="00D13456">
        <w:tc>
          <w:tcPr>
            <w:tcW w:w="5670" w:type="dxa"/>
            <w:vAlign w:val="center"/>
          </w:tcPr>
          <w:p w:rsidR="005505E0" w:rsidRPr="00F10E44" w:rsidRDefault="005505E0" w:rsidP="005535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ОБРАЗОВАНИЯ РОГНЕДИНСКОГО РАЙОНА (201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67125,1</w:t>
            </w:r>
          </w:p>
        </w:tc>
        <w:tc>
          <w:tcPr>
            <w:tcW w:w="1701" w:type="dxa"/>
          </w:tcPr>
          <w:p w:rsidR="005505E0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66472,0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5505E0" w:rsidTr="00D13456">
        <w:tc>
          <w:tcPr>
            <w:tcW w:w="5670" w:type="dxa"/>
            <w:vAlign w:val="center"/>
          </w:tcPr>
          <w:p w:rsidR="005505E0" w:rsidRPr="00F10E44" w:rsidRDefault="005505E0" w:rsidP="005535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РОГНЕДИНСКОГО РАЙОНА (201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10420,9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10420,9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9</w:t>
      </w: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Исполнение н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епрограм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расходов</w:t>
      </w:r>
    </w:p>
    <w:p w:rsidR="005505E0" w:rsidRPr="00CA3727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районного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2017 год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(тыс.рублей) 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1560"/>
        <w:gridCol w:w="1701"/>
        <w:gridCol w:w="1701"/>
      </w:tblGrid>
      <w:tr w:rsidR="005505E0" w:rsidRPr="006030C5" w:rsidTr="006F0D2C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D6E3BC"/>
          </w:tcPr>
          <w:p w:rsidR="005505E0" w:rsidRPr="00D56DE7" w:rsidRDefault="005505E0" w:rsidP="00CA3727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непрограммной деятельности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933,5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931,3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FFFFFF"/>
          </w:tcPr>
          <w:p w:rsidR="005505E0" w:rsidRPr="00AC0B1B" w:rsidRDefault="005505E0" w:rsidP="00D5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B1B">
              <w:rPr>
                <w:rFonts w:ascii="Times New Roman" w:hAnsi="Times New Roman"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FFFFFF"/>
          </w:tcPr>
          <w:p w:rsidR="005505E0" w:rsidRPr="00AC0B1B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342,9</w:t>
            </w:r>
          </w:p>
        </w:tc>
        <w:tc>
          <w:tcPr>
            <w:tcW w:w="1701" w:type="dxa"/>
            <w:shd w:val="clear" w:color="auto" w:fill="FFFFFF"/>
          </w:tcPr>
          <w:p w:rsidR="005505E0" w:rsidRPr="00AC0B1B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342,8</w:t>
            </w:r>
          </w:p>
        </w:tc>
        <w:tc>
          <w:tcPr>
            <w:tcW w:w="1701" w:type="dxa"/>
            <w:shd w:val="clear" w:color="auto" w:fill="FFFFFF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FFFFFF"/>
          </w:tcPr>
          <w:p w:rsidR="005505E0" w:rsidRPr="00AC0B1B" w:rsidRDefault="005505E0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председателя Контрольно- счетной палаты</w:t>
            </w:r>
          </w:p>
        </w:tc>
        <w:tc>
          <w:tcPr>
            <w:tcW w:w="1560" w:type="dxa"/>
            <w:shd w:val="clear" w:color="auto" w:fill="FFFFFF"/>
          </w:tcPr>
          <w:p w:rsidR="005505E0" w:rsidRPr="00AC0B1B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590,6</w:t>
            </w:r>
          </w:p>
        </w:tc>
        <w:tc>
          <w:tcPr>
            <w:tcW w:w="1701" w:type="dxa"/>
            <w:shd w:val="clear" w:color="auto" w:fill="FFFFFF"/>
          </w:tcPr>
          <w:p w:rsidR="005505E0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588,5</w:t>
            </w:r>
          </w:p>
          <w:p w:rsidR="005505E0" w:rsidRPr="00AC0B1B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</w:tbl>
    <w:p w:rsidR="005505E0" w:rsidRDefault="005505E0" w:rsidP="00CA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5E0" w:rsidRPr="006030C5" w:rsidRDefault="005505E0" w:rsidP="005D653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5505E0" w:rsidRPr="006030C5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198"/>
    <w:rsid w:val="00003ADC"/>
    <w:rsid w:val="0002238C"/>
    <w:rsid w:val="00025FCF"/>
    <w:rsid w:val="0003206C"/>
    <w:rsid w:val="00034BAB"/>
    <w:rsid w:val="000406E9"/>
    <w:rsid w:val="00046333"/>
    <w:rsid w:val="000537F1"/>
    <w:rsid w:val="0006553F"/>
    <w:rsid w:val="00074D09"/>
    <w:rsid w:val="00086F43"/>
    <w:rsid w:val="0009133F"/>
    <w:rsid w:val="000A0F6D"/>
    <w:rsid w:val="000A64EE"/>
    <w:rsid w:val="000B2FDB"/>
    <w:rsid w:val="000B46A9"/>
    <w:rsid w:val="000B4DB9"/>
    <w:rsid w:val="000B79D7"/>
    <w:rsid w:val="000C25C2"/>
    <w:rsid w:val="000E42E2"/>
    <w:rsid w:val="000F2CDB"/>
    <w:rsid w:val="000F760E"/>
    <w:rsid w:val="00102BCF"/>
    <w:rsid w:val="001250FC"/>
    <w:rsid w:val="00130AB3"/>
    <w:rsid w:val="00133277"/>
    <w:rsid w:val="00134AC6"/>
    <w:rsid w:val="00140F6B"/>
    <w:rsid w:val="001449D6"/>
    <w:rsid w:val="001477D5"/>
    <w:rsid w:val="00160790"/>
    <w:rsid w:val="001608CE"/>
    <w:rsid w:val="0016642A"/>
    <w:rsid w:val="00171C61"/>
    <w:rsid w:val="00181DDB"/>
    <w:rsid w:val="001879F2"/>
    <w:rsid w:val="001947FB"/>
    <w:rsid w:val="0019731C"/>
    <w:rsid w:val="001A4C3E"/>
    <w:rsid w:val="001B348C"/>
    <w:rsid w:val="001B644D"/>
    <w:rsid w:val="001B6860"/>
    <w:rsid w:val="001B7724"/>
    <w:rsid w:val="001C371D"/>
    <w:rsid w:val="001C4318"/>
    <w:rsid w:val="001D025E"/>
    <w:rsid w:val="001D17C6"/>
    <w:rsid w:val="001D1EEF"/>
    <w:rsid w:val="001D29D2"/>
    <w:rsid w:val="001D64BB"/>
    <w:rsid w:val="001E5543"/>
    <w:rsid w:val="0020627A"/>
    <w:rsid w:val="00210690"/>
    <w:rsid w:val="002134C4"/>
    <w:rsid w:val="002138FC"/>
    <w:rsid w:val="00241575"/>
    <w:rsid w:val="00251AC9"/>
    <w:rsid w:val="00251ADA"/>
    <w:rsid w:val="00252EC6"/>
    <w:rsid w:val="0025334F"/>
    <w:rsid w:val="00256B07"/>
    <w:rsid w:val="00256C2D"/>
    <w:rsid w:val="00260305"/>
    <w:rsid w:val="00263236"/>
    <w:rsid w:val="00264E46"/>
    <w:rsid w:val="002668AF"/>
    <w:rsid w:val="002669B7"/>
    <w:rsid w:val="0028230F"/>
    <w:rsid w:val="00285387"/>
    <w:rsid w:val="00286442"/>
    <w:rsid w:val="00287CEE"/>
    <w:rsid w:val="002967EE"/>
    <w:rsid w:val="002B2845"/>
    <w:rsid w:val="002B4478"/>
    <w:rsid w:val="002B72C1"/>
    <w:rsid w:val="002C67A0"/>
    <w:rsid w:val="002C760A"/>
    <w:rsid w:val="002D1BD3"/>
    <w:rsid w:val="002D3037"/>
    <w:rsid w:val="002D303A"/>
    <w:rsid w:val="002E187B"/>
    <w:rsid w:val="002F1D3A"/>
    <w:rsid w:val="00302A50"/>
    <w:rsid w:val="003052EF"/>
    <w:rsid w:val="00307652"/>
    <w:rsid w:val="00310264"/>
    <w:rsid w:val="003103BB"/>
    <w:rsid w:val="0031270C"/>
    <w:rsid w:val="0031338E"/>
    <w:rsid w:val="00316D5B"/>
    <w:rsid w:val="0032287F"/>
    <w:rsid w:val="003315BA"/>
    <w:rsid w:val="003348FA"/>
    <w:rsid w:val="00351B85"/>
    <w:rsid w:val="00352C30"/>
    <w:rsid w:val="00363F90"/>
    <w:rsid w:val="00367D0F"/>
    <w:rsid w:val="00370223"/>
    <w:rsid w:val="00374199"/>
    <w:rsid w:val="003828BF"/>
    <w:rsid w:val="003919F1"/>
    <w:rsid w:val="00391C11"/>
    <w:rsid w:val="003961CA"/>
    <w:rsid w:val="00397E30"/>
    <w:rsid w:val="003B3C9A"/>
    <w:rsid w:val="003C0AA3"/>
    <w:rsid w:val="003C140C"/>
    <w:rsid w:val="003C43D0"/>
    <w:rsid w:val="003F2170"/>
    <w:rsid w:val="004108D2"/>
    <w:rsid w:val="0041411F"/>
    <w:rsid w:val="0043312B"/>
    <w:rsid w:val="00445B06"/>
    <w:rsid w:val="004539D9"/>
    <w:rsid w:val="00457406"/>
    <w:rsid w:val="004621A5"/>
    <w:rsid w:val="00465383"/>
    <w:rsid w:val="0046730F"/>
    <w:rsid w:val="004747F6"/>
    <w:rsid w:val="00486317"/>
    <w:rsid w:val="004963D7"/>
    <w:rsid w:val="00497B16"/>
    <w:rsid w:val="004A0B12"/>
    <w:rsid w:val="004B35D8"/>
    <w:rsid w:val="004B68A4"/>
    <w:rsid w:val="004C4556"/>
    <w:rsid w:val="004E20B2"/>
    <w:rsid w:val="004E27EF"/>
    <w:rsid w:val="004E361C"/>
    <w:rsid w:val="004E38A6"/>
    <w:rsid w:val="004F04AE"/>
    <w:rsid w:val="004F147B"/>
    <w:rsid w:val="00512494"/>
    <w:rsid w:val="005155E0"/>
    <w:rsid w:val="00521842"/>
    <w:rsid w:val="0052460B"/>
    <w:rsid w:val="00533BF7"/>
    <w:rsid w:val="005353F9"/>
    <w:rsid w:val="00535BBF"/>
    <w:rsid w:val="005375D3"/>
    <w:rsid w:val="005416A7"/>
    <w:rsid w:val="0054703E"/>
    <w:rsid w:val="005505E0"/>
    <w:rsid w:val="0055291D"/>
    <w:rsid w:val="00553556"/>
    <w:rsid w:val="00560F2D"/>
    <w:rsid w:val="00566343"/>
    <w:rsid w:val="005713FD"/>
    <w:rsid w:val="00580928"/>
    <w:rsid w:val="00583C7B"/>
    <w:rsid w:val="00585866"/>
    <w:rsid w:val="005A58F1"/>
    <w:rsid w:val="005B7B21"/>
    <w:rsid w:val="005D61EA"/>
    <w:rsid w:val="005D6530"/>
    <w:rsid w:val="005D6E51"/>
    <w:rsid w:val="005E270A"/>
    <w:rsid w:val="005E2E02"/>
    <w:rsid w:val="00602BA7"/>
    <w:rsid w:val="006030C5"/>
    <w:rsid w:val="00613A03"/>
    <w:rsid w:val="0062446E"/>
    <w:rsid w:val="00630ACA"/>
    <w:rsid w:val="006618FC"/>
    <w:rsid w:val="00664C87"/>
    <w:rsid w:val="006855E7"/>
    <w:rsid w:val="00687CF1"/>
    <w:rsid w:val="006957A8"/>
    <w:rsid w:val="006A47F0"/>
    <w:rsid w:val="006A5EBE"/>
    <w:rsid w:val="006A6198"/>
    <w:rsid w:val="006A69AF"/>
    <w:rsid w:val="006B5391"/>
    <w:rsid w:val="006C7259"/>
    <w:rsid w:val="006F0D2C"/>
    <w:rsid w:val="006F106E"/>
    <w:rsid w:val="006F495A"/>
    <w:rsid w:val="00702088"/>
    <w:rsid w:val="00724D89"/>
    <w:rsid w:val="0073038C"/>
    <w:rsid w:val="007640E5"/>
    <w:rsid w:val="00767602"/>
    <w:rsid w:val="0077003B"/>
    <w:rsid w:val="00770347"/>
    <w:rsid w:val="00772366"/>
    <w:rsid w:val="007804E5"/>
    <w:rsid w:val="00782E2B"/>
    <w:rsid w:val="0078328B"/>
    <w:rsid w:val="00791FDE"/>
    <w:rsid w:val="00792266"/>
    <w:rsid w:val="0079250B"/>
    <w:rsid w:val="00795C0F"/>
    <w:rsid w:val="007A5136"/>
    <w:rsid w:val="007B0F34"/>
    <w:rsid w:val="007C03BA"/>
    <w:rsid w:val="007C6EB4"/>
    <w:rsid w:val="007D67A6"/>
    <w:rsid w:val="007F206D"/>
    <w:rsid w:val="007F494D"/>
    <w:rsid w:val="008058C6"/>
    <w:rsid w:val="0081137D"/>
    <w:rsid w:val="00812FCF"/>
    <w:rsid w:val="00822317"/>
    <w:rsid w:val="00826B83"/>
    <w:rsid w:val="008430EE"/>
    <w:rsid w:val="00857A87"/>
    <w:rsid w:val="00895723"/>
    <w:rsid w:val="008A0026"/>
    <w:rsid w:val="008B3AF6"/>
    <w:rsid w:val="008B5874"/>
    <w:rsid w:val="008B6A98"/>
    <w:rsid w:val="008C5F2B"/>
    <w:rsid w:val="008D007C"/>
    <w:rsid w:val="008D65F8"/>
    <w:rsid w:val="008F5BBB"/>
    <w:rsid w:val="00914C7E"/>
    <w:rsid w:val="00915FB0"/>
    <w:rsid w:val="00925F7B"/>
    <w:rsid w:val="00926BE0"/>
    <w:rsid w:val="00937A2C"/>
    <w:rsid w:val="00944D9A"/>
    <w:rsid w:val="00950F6B"/>
    <w:rsid w:val="009566EE"/>
    <w:rsid w:val="00960E0C"/>
    <w:rsid w:val="0097151E"/>
    <w:rsid w:val="00972191"/>
    <w:rsid w:val="00975D85"/>
    <w:rsid w:val="00977122"/>
    <w:rsid w:val="0098318A"/>
    <w:rsid w:val="009A0402"/>
    <w:rsid w:val="009A712E"/>
    <w:rsid w:val="009C2839"/>
    <w:rsid w:val="009C58D0"/>
    <w:rsid w:val="009C6AEE"/>
    <w:rsid w:val="009D1546"/>
    <w:rsid w:val="009D506D"/>
    <w:rsid w:val="009F3120"/>
    <w:rsid w:val="00A008A5"/>
    <w:rsid w:val="00A06DDA"/>
    <w:rsid w:val="00A218E1"/>
    <w:rsid w:val="00A40902"/>
    <w:rsid w:val="00A429D5"/>
    <w:rsid w:val="00A47215"/>
    <w:rsid w:val="00A50D1D"/>
    <w:rsid w:val="00A51888"/>
    <w:rsid w:val="00A5193F"/>
    <w:rsid w:val="00A5614E"/>
    <w:rsid w:val="00A5747B"/>
    <w:rsid w:val="00A60311"/>
    <w:rsid w:val="00A65AF8"/>
    <w:rsid w:val="00A72A62"/>
    <w:rsid w:val="00A839D7"/>
    <w:rsid w:val="00A8502C"/>
    <w:rsid w:val="00AA05A7"/>
    <w:rsid w:val="00AA6045"/>
    <w:rsid w:val="00AC0B1B"/>
    <w:rsid w:val="00AC1ECE"/>
    <w:rsid w:val="00AD5076"/>
    <w:rsid w:val="00AD6ADB"/>
    <w:rsid w:val="00AE106A"/>
    <w:rsid w:val="00AF5252"/>
    <w:rsid w:val="00B24C27"/>
    <w:rsid w:val="00B3099E"/>
    <w:rsid w:val="00B30D6B"/>
    <w:rsid w:val="00B339EA"/>
    <w:rsid w:val="00B36152"/>
    <w:rsid w:val="00B4111B"/>
    <w:rsid w:val="00B44D9C"/>
    <w:rsid w:val="00B4516F"/>
    <w:rsid w:val="00B45342"/>
    <w:rsid w:val="00B6058F"/>
    <w:rsid w:val="00B7211E"/>
    <w:rsid w:val="00B860E4"/>
    <w:rsid w:val="00B87C61"/>
    <w:rsid w:val="00B9279A"/>
    <w:rsid w:val="00B945FF"/>
    <w:rsid w:val="00BA64D8"/>
    <w:rsid w:val="00BA7BF3"/>
    <w:rsid w:val="00BB53AA"/>
    <w:rsid w:val="00BB6354"/>
    <w:rsid w:val="00BB71AC"/>
    <w:rsid w:val="00BB7A8E"/>
    <w:rsid w:val="00BD3D27"/>
    <w:rsid w:val="00BD7356"/>
    <w:rsid w:val="00C14BFC"/>
    <w:rsid w:val="00C411E4"/>
    <w:rsid w:val="00C41C4D"/>
    <w:rsid w:val="00C5786F"/>
    <w:rsid w:val="00C64E70"/>
    <w:rsid w:val="00C75CEC"/>
    <w:rsid w:val="00C8123E"/>
    <w:rsid w:val="00C8210F"/>
    <w:rsid w:val="00C85C74"/>
    <w:rsid w:val="00C875B5"/>
    <w:rsid w:val="00C904EC"/>
    <w:rsid w:val="00C96A62"/>
    <w:rsid w:val="00CA36DA"/>
    <w:rsid w:val="00CA3727"/>
    <w:rsid w:val="00CB24D6"/>
    <w:rsid w:val="00CC0BFB"/>
    <w:rsid w:val="00CC240E"/>
    <w:rsid w:val="00CC544F"/>
    <w:rsid w:val="00CC7D4A"/>
    <w:rsid w:val="00CF4CA8"/>
    <w:rsid w:val="00CF555B"/>
    <w:rsid w:val="00D02896"/>
    <w:rsid w:val="00D13456"/>
    <w:rsid w:val="00D40338"/>
    <w:rsid w:val="00D4528C"/>
    <w:rsid w:val="00D56DE7"/>
    <w:rsid w:val="00D6121B"/>
    <w:rsid w:val="00D67D03"/>
    <w:rsid w:val="00D95967"/>
    <w:rsid w:val="00D95DBB"/>
    <w:rsid w:val="00DA1196"/>
    <w:rsid w:val="00DA7465"/>
    <w:rsid w:val="00DB5490"/>
    <w:rsid w:val="00DC2014"/>
    <w:rsid w:val="00DC22F7"/>
    <w:rsid w:val="00DC352E"/>
    <w:rsid w:val="00DE21B6"/>
    <w:rsid w:val="00DE2A24"/>
    <w:rsid w:val="00DE5D3A"/>
    <w:rsid w:val="00DE6E23"/>
    <w:rsid w:val="00DF6E80"/>
    <w:rsid w:val="00E14B34"/>
    <w:rsid w:val="00E23F01"/>
    <w:rsid w:val="00E25227"/>
    <w:rsid w:val="00E26A63"/>
    <w:rsid w:val="00E3110F"/>
    <w:rsid w:val="00E433BA"/>
    <w:rsid w:val="00E46350"/>
    <w:rsid w:val="00E548AE"/>
    <w:rsid w:val="00E55EF2"/>
    <w:rsid w:val="00E62437"/>
    <w:rsid w:val="00E7321E"/>
    <w:rsid w:val="00E826F7"/>
    <w:rsid w:val="00E83ED7"/>
    <w:rsid w:val="00E8553F"/>
    <w:rsid w:val="00E91287"/>
    <w:rsid w:val="00EA1A2F"/>
    <w:rsid w:val="00EA36D7"/>
    <w:rsid w:val="00EA44F5"/>
    <w:rsid w:val="00EA526F"/>
    <w:rsid w:val="00EA7B75"/>
    <w:rsid w:val="00EC0F07"/>
    <w:rsid w:val="00EC6E11"/>
    <w:rsid w:val="00ED3B2D"/>
    <w:rsid w:val="00EF0191"/>
    <w:rsid w:val="00F001D2"/>
    <w:rsid w:val="00F00611"/>
    <w:rsid w:val="00F00D78"/>
    <w:rsid w:val="00F0298A"/>
    <w:rsid w:val="00F05DD5"/>
    <w:rsid w:val="00F10E44"/>
    <w:rsid w:val="00F15569"/>
    <w:rsid w:val="00F563C2"/>
    <w:rsid w:val="00F6018B"/>
    <w:rsid w:val="00F67302"/>
    <w:rsid w:val="00F7542E"/>
    <w:rsid w:val="00F80C19"/>
    <w:rsid w:val="00F814E5"/>
    <w:rsid w:val="00F862C5"/>
    <w:rsid w:val="00F93F8B"/>
    <w:rsid w:val="00F9487E"/>
    <w:rsid w:val="00F97F56"/>
    <w:rsid w:val="00FB0ECA"/>
    <w:rsid w:val="00FB168B"/>
    <w:rsid w:val="00FB5505"/>
    <w:rsid w:val="00FC24D0"/>
    <w:rsid w:val="00FC4E58"/>
    <w:rsid w:val="00FD0C73"/>
    <w:rsid w:val="00FD2E42"/>
    <w:rsid w:val="00FE7B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C0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0B12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1B7724"/>
    <w:rPr>
      <w:lang w:eastAsia="en-US"/>
    </w:rPr>
  </w:style>
  <w:style w:type="paragraph" w:styleId="ListParagraph">
    <w:name w:val="List Paragraph"/>
    <w:basedOn w:val="Normal"/>
    <w:uiPriority w:val="99"/>
    <w:qFormat/>
    <w:rsid w:val="0082231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30765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5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720</TotalTime>
  <Pages>14</Pages>
  <Words>2834</Words>
  <Characters>16154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Райфо</cp:lastModifiedBy>
  <cp:revision>155</cp:revision>
  <cp:lastPrinted>2017-03-10T06:16:00Z</cp:lastPrinted>
  <dcterms:created xsi:type="dcterms:W3CDTF">2016-03-22T14:36:00Z</dcterms:created>
  <dcterms:modified xsi:type="dcterms:W3CDTF">2018-04-19T08:45:00Z</dcterms:modified>
</cp:coreProperties>
</file>