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44063">
        <w:rPr>
          <w:rFonts w:ascii="Times New Roman" w:hAnsi="Times New Roman" w:cs="Times New Roman"/>
          <w:b/>
          <w:sz w:val="24"/>
          <w:szCs w:val="24"/>
        </w:rPr>
        <w:t>1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0D7C33">
        <w:rPr>
          <w:rFonts w:ascii="Times New Roman" w:hAnsi="Times New Roman" w:cs="Times New Roman"/>
          <w:sz w:val="24"/>
          <w:szCs w:val="24"/>
        </w:rPr>
        <w:t>2</w:t>
      </w:r>
      <w:r w:rsidR="00AA6BD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0D7C33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EB735A">
        <w:rPr>
          <w:rFonts w:ascii="Times New Roman" w:hAnsi="Times New Roman" w:cs="Times New Roman"/>
          <w:sz w:val="24"/>
          <w:szCs w:val="24"/>
        </w:rPr>
        <w:t>3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C35806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Вороновская</w:t>
      </w:r>
      <w:r w:rsidR="00767BEF"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19418C">
        <w:rPr>
          <w:rFonts w:ascii="Times New Roman" w:hAnsi="Times New Roman" w:cs="Times New Roman"/>
          <w:b/>
          <w:sz w:val="24"/>
          <w:szCs w:val="24"/>
        </w:rPr>
        <w:t>Вороновской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r w:rsidR="0019418C">
        <w:rPr>
          <w:rFonts w:ascii="Times New Roman" w:hAnsi="Times New Roman" w:cs="Times New Roman"/>
          <w:b/>
          <w:sz w:val="24"/>
          <w:szCs w:val="24"/>
        </w:rPr>
        <w:t>Шилина Владимира Тихоновича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ского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0D7C33" w:rsidRPr="000D7C33">
        <w:rPr>
          <w:rFonts w:ascii="Times New Roman" w:hAnsi="Times New Roman" w:cs="Times New Roman"/>
          <w:sz w:val="24"/>
          <w:szCs w:val="24"/>
        </w:rPr>
        <w:t>20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712" w:rsidRPr="000D7C3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D7C33" w:rsidRPr="000D7C3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0D7C3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D7C33" w:rsidRPr="000D7C3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43D4C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0D7C33">
        <w:rPr>
          <w:rFonts w:ascii="Times New Roman" w:hAnsi="Times New Roman" w:cs="Times New Roman"/>
          <w:sz w:val="24"/>
          <w:szCs w:val="24"/>
          <w:u w:val="single"/>
        </w:rPr>
        <w:t>6-2</w:t>
      </w:r>
      <w:r w:rsidR="000D7C33" w:rsidRPr="000D7C33">
        <w:rPr>
          <w:rFonts w:ascii="Times New Roman" w:hAnsi="Times New Roman" w:cs="Times New Roman"/>
          <w:sz w:val="24"/>
          <w:szCs w:val="24"/>
          <w:u w:val="single"/>
        </w:rPr>
        <w:t>84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19418C">
        <w:rPr>
          <w:rFonts w:ascii="Times New Roman" w:hAnsi="Times New Roman" w:cs="Times New Roman"/>
          <w:sz w:val="24"/>
          <w:szCs w:val="24"/>
        </w:rPr>
        <w:t>Вороновского</w:t>
      </w:r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19418C" w:rsidRPr="000D7C3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D7C3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67BEF" w:rsidRPr="000D7C3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0D7C3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D7C3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0D7C3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0D7C3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0D7C3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9418C" w:rsidRPr="000D7C3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D7C33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19418C">
        <w:rPr>
          <w:rFonts w:ascii="Times New Roman" w:hAnsi="Times New Roman" w:cs="Times New Roman"/>
          <w:sz w:val="24"/>
          <w:szCs w:val="24"/>
        </w:rPr>
        <w:t>Вороновской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ого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r w:rsidR="0019418C">
        <w:rPr>
          <w:rFonts w:ascii="Times New Roman" w:hAnsi="Times New Roman" w:cs="Times New Roman"/>
          <w:sz w:val="24"/>
          <w:szCs w:val="24"/>
        </w:rPr>
        <w:t>Вороновского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>я Рогнединского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r w:rsidR="0019418C">
        <w:rPr>
          <w:rFonts w:ascii="Times New Roman" w:hAnsi="Times New Roman" w:cs="Times New Roman"/>
          <w:sz w:val="24"/>
          <w:szCs w:val="24"/>
        </w:rPr>
        <w:t>Вороновской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>отчетов о достижении 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Рогнединского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Рогнединского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ого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Рогнединского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на воспрепятствует осуществлению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>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 w:rsidR="00E81F73">
        <w:rPr>
          <w:rFonts w:ascii="Times New Roman" w:hAnsi="Times New Roman" w:cs="Times New Roman"/>
          <w:sz w:val="24"/>
          <w:szCs w:val="24"/>
        </w:rPr>
        <w:t xml:space="preserve">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родства(родители,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(далее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-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видео-.и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(муниципального)финансового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>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r w:rsidR="001A618F">
        <w:rPr>
          <w:rFonts w:ascii="Times New Roman" w:hAnsi="Times New Roman" w:cs="Times New Roman"/>
          <w:sz w:val="24"/>
          <w:szCs w:val="24"/>
        </w:rPr>
        <w:t>,с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ому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>я Рогнединского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B735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B735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19418C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Вороновская</w:t>
            </w:r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Рогнединский рай-он, 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418C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Pr="00836824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Вороновской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Рогнединского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242770,Брянская обл., п.Рогнедино,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Default="0019418C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19418C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19418C">
        <w:rPr>
          <w:rFonts w:ascii="Times New Roman" w:hAnsi="Times New Roman" w:cs="Times New Roman"/>
          <w:b/>
          <w:sz w:val="24"/>
          <w:szCs w:val="24"/>
        </w:rPr>
        <w:t>Т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19418C">
        <w:rPr>
          <w:rFonts w:ascii="Times New Roman" w:hAnsi="Times New Roman" w:cs="Times New Roman"/>
          <w:b/>
          <w:sz w:val="24"/>
          <w:szCs w:val="24"/>
        </w:rPr>
        <w:t>Шилин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М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D7C33"/>
    <w:rsid w:val="000E06F8"/>
    <w:rsid w:val="001153FB"/>
    <w:rsid w:val="00122EB1"/>
    <w:rsid w:val="00146240"/>
    <w:rsid w:val="0017499D"/>
    <w:rsid w:val="001830E8"/>
    <w:rsid w:val="0019418C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431E3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A6BDA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44063"/>
    <w:rsid w:val="00B80F98"/>
    <w:rsid w:val="00BA5512"/>
    <w:rsid w:val="00BC083A"/>
    <w:rsid w:val="00BD676A"/>
    <w:rsid w:val="00C07161"/>
    <w:rsid w:val="00C164A5"/>
    <w:rsid w:val="00C31C8A"/>
    <w:rsid w:val="00C35806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B735A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5808-F576-43E5-8763-293170E0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84</cp:revision>
  <cp:lastPrinted>2022-12-01T06:26:00Z</cp:lastPrinted>
  <dcterms:created xsi:type="dcterms:W3CDTF">2017-12-08T06:56:00Z</dcterms:created>
  <dcterms:modified xsi:type="dcterms:W3CDTF">2023-10-31T08:12:00Z</dcterms:modified>
</cp:coreProperties>
</file>